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822"/>
        <w:rPr>
          <w:color w:val="000000"/>
          <w:highlight w:val="none"/>
        </w:rPr>
        <w:outlineLvl w:val="9"/>
      </w:pPr>
      <w:r>
        <w:rPr>
          <w:color w:val="000000"/>
          <w:highlight w:val="none"/>
        </w:rPr>
      </w:r>
      <w:r/>
    </w:p>
    <w:p>
      <w:pPr>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822"/>
        <w:rPr>
          <w:color w:val="000000"/>
          <w:highlight w:val="none"/>
        </w:rPr>
        <w:outlineLvl w:val="9"/>
      </w:pPr>
      <w:r>
        <w:rPr>
          <w:color w:val="000000"/>
          <w:highlight w:val="none"/>
        </w:rPr>
      </w:r>
      <w:r/>
    </w:p>
    <w:p>
      <w:pPr>
        <w:jc w:val="center"/>
        <w:rPr>
          <w:b/>
          <w:color w:val="000000"/>
          <w:sz w:val="96"/>
          <w:szCs w:val="96"/>
          <w:highlight w:val="none"/>
        </w:rPr>
        <w:outlineLvl w:val="9"/>
      </w:pPr>
      <w:r/>
      <w:bookmarkStart w:id="0" w:name="_Toc20707"/>
      <w:r/>
      <w:bookmarkStart w:id="1" w:name="_Toc24222"/>
      <w:r>
        <w:rPr>
          <w:rFonts w:hint="eastAsia"/>
          <w:b/>
          <w:color w:val="000000"/>
          <w:sz w:val="96"/>
          <w:szCs w:val="96"/>
          <w:highlight w:val="none"/>
        </w:rPr>
        <w:t xml:space="preserve">无锡市</w:t>
      </w:r>
      <w:r>
        <w:rPr>
          <w:b/>
          <w:color w:val="000000"/>
          <w:sz w:val="96"/>
          <w:szCs w:val="96"/>
          <w:highlight w:val="none"/>
        </w:rPr>
        <w:t xml:space="preserve">政府采购</w:t>
      </w:r>
      <w:bookmarkEnd w:id="0"/>
      <w:r/>
      <w:bookmarkEnd w:id="1"/>
      <w:r/>
      <w:r/>
    </w:p>
    <w:p>
      <w:pPr>
        <w:rPr>
          <w:rFonts w:hint="eastAsia"/>
          <w:b/>
          <w:color w:val="000000"/>
          <w:sz w:val="28"/>
          <w:szCs w:val="28"/>
          <w:highlight w:val="none"/>
        </w:rPr>
        <w:outlineLvl w:val="9"/>
      </w:pPr>
      <w:r>
        <w:rPr>
          <w:rFonts w:hint="eastAsia"/>
          <w:b/>
          <w:color w:val="000000"/>
          <w:sz w:val="28"/>
          <w:szCs w:val="28"/>
          <w:highlight w:val="none"/>
        </w:rPr>
      </w:r>
      <w:r/>
    </w:p>
    <w:p>
      <w:pPr>
        <w:pStyle w:val="1835"/>
        <w:rPr>
          <w:rFonts w:hint="eastAsia"/>
          <w:b/>
          <w:color w:val="000000"/>
          <w:sz w:val="28"/>
          <w:szCs w:val="28"/>
          <w:highlight w:val="none"/>
        </w:rPr>
        <w:outlineLvl w:val="9"/>
      </w:pPr>
      <w:r>
        <w:rPr>
          <w:rFonts w:hint="eastAsia"/>
          <w:b/>
          <w:color w:val="000000"/>
          <w:sz w:val="28"/>
          <w:szCs w:val="28"/>
          <w:highlight w:val="none"/>
        </w:rPr>
      </w:r>
      <w:r/>
    </w:p>
    <w:p>
      <w:pPr>
        <w:rPr>
          <w:rFonts w:hint="eastAsia"/>
          <w:b/>
          <w:color w:val="000000"/>
          <w:sz w:val="28"/>
          <w:szCs w:val="28"/>
          <w:highlight w:val="none"/>
        </w:rPr>
        <w:outlineLvl w:val="9"/>
      </w:pPr>
      <w:r>
        <w:rPr>
          <w:rFonts w:hint="eastAsia"/>
          <w:b/>
          <w:color w:val="000000"/>
          <w:sz w:val="28"/>
          <w:szCs w:val="28"/>
          <w:highlight w:val="none"/>
        </w:rPr>
      </w:r>
      <w:r/>
    </w:p>
    <w:p>
      <w:pPr>
        <w:pStyle w:val="1835"/>
        <w:rPr>
          <w:rFonts w:hint="eastAsia"/>
          <w:color w:val="000000"/>
          <w:highlight w:val="none"/>
        </w:rPr>
        <w:outlineLvl w:val="9"/>
      </w:pPr>
      <w:r>
        <w:rPr>
          <w:rFonts w:hint="eastAsia"/>
          <w:color w:val="000000"/>
          <w:highlight w:val="none"/>
        </w:rPr>
      </w:r>
      <w:r/>
    </w:p>
    <w:p>
      <w:pPr>
        <w:pStyle w:val="1835"/>
        <w:rPr>
          <w:rFonts w:hint="eastAsia"/>
          <w:color w:val="000000"/>
          <w:highlight w:val="none"/>
        </w:rPr>
        <w:outlineLvl w:val="9"/>
      </w:pPr>
      <w:r>
        <w:rPr>
          <w:rFonts w:hint="eastAsia"/>
          <w:color w:val="000000"/>
          <w:highlight w:val="none"/>
        </w:rPr>
      </w:r>
      <w:r/>
    </w:p>
    <w:p>
      <w:pPr>
        <w:jc w:val="center"/>
        <w:rPr>
          <w:b/>
          <w:color w:val="000000"/>
          <w:sz w:val="28"/>
          <w:szCs w:val="28"/>
          <w:highlight w:val="none"/>
        </w:rPr>
        <w:outlineLvl w:val="9"/>
      </w:pPr>
      <w:r/>
      <w:bookmarkStart w:id="2" w:name="_Toc6267"/>
      <w:r/>
      <w:bookmarkStart w:id="3" w:name="_Toc8186"/>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
    </w:p>
    <w:p>
      <w:pPr>
        <w:rPr>
          <w:b w:val="0"/>
          <w:bCs/>
          <w:color w:val="000000"/>
          <w:sz w:val="28"/>
          <w:szCs w:val="28"/>
          <w:highlight w:val="none"/>
        </w:rPr>
        <w:outlineLvl w:val="9"/>
      </w:pPr>
      <w:r>
        <w:rPr>
          <w:b w:val="0"/>
          <w:bCs/>
          <w:color w:val="000000"/>
          <w:sz w:val="28"/>
          <w:szCs w:val="28"/>
          <w:highlight w:val="none"/>
        </w:rPr>
      </w:r>
      <w:r/>
    </w:p>
    <w:p>
      <w:pPr>
        <w:pStyle w:val="1826"/>
        <w:ind w:left="1260"/>
        <w:rPr>
          <w:b/>
          <w:color w:val="000000"/>
          <w:sz w:val="28"/>
          <w:szCs w:val="28"/>
          <w:highlight w:val="none"/>
        </w:rPr>
        <w:outlineLvl w:val="9"/>
      </w:pPr>
      <w:r>
        <w:rPr>
          <w:b/>
          <w:color w:val="000000"/>
          <w:sz w:val="28"/>
          <w:szCs w:val="28"/>
          <w:highlight w:val="none"/>
        </w:rPr>
      </w:r>
      <w:r/>
    </w:p>
    <w:p>
      <w:pPr>
        <w:rPr>
          <w:b/>
          <w:color w:val="000000"/>
          <w:sz w:val="28"/>
          <w:szCs w:val="28"/>
          <w:highlight w:val="none"/>
        </w:rPr>
        <w:outlineLvl w:val="9"/>
      </w:pPr>
      <w:r>
        <w:rPr>
          <w:b/>
          <w:color w:val="000000"/>
          <w:sz w:val="28"/>
          <w:szCs w:val="28"/>
          <w:highlight w:val="none"/>
        </w:rPr>
      </w:r>
      <w:r/>
    </w:p>
    <w:p>
      <w:pPr>
        <w:jc w:val="center"/>
        <w:rPr>
          <w:b/>
          <w:color w:val="000000"/>
          <w:sz w:val="28"/>
          <w:szCs w:val="28"/>
          <w:highlight w:val="none"/>
        </w:rPr>
        <w:outlineLvl w:val="9"/>
      </w:pPr>
      <w:r>
        <w:rPr>
          <w:b/>
          <w:color w:val="000000"/>
          <w:sz w:val="28"/>
          <w:szCs w:val="28"/>
          <w:highlight w:val="none"/>
        </w:rPr>
      </w:r>
      <w:r/>
    </w:p>
    <w:p>
      <w:pPr>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
    </w:p>
    <w:p>
      <w:pPr>
        <w:pStyle w:val="1874"/>
        <w:ind w:firstLine="0"/>
        <w:rPr>
          <w:color w:val="000000"/>
          <w:highlight w:val="none"/>
        </w:rPr>
        <w:outlineLvl w:val="9"/>
      </w:pPr>
      <w:r>
        <w:rPr>
          <w:color w:val="000000"/>
          <w:highlight w:val="none"/>
        </w:rPr>
      </w:r>
      <w:r/>
    </w:p>
    <w:p>
      <w:pPr>
        <w:pStyle w:val="1874"/>
        <w:ind w:firstLine="0"/>
        <w:rPr>
          <w:color w:val="000000"/>
          <w:highlight w:val="none"/>
        </w:rPr>
        <w:outlineLvl w:val="9"/>
      </w:pPr>
      <w:r>
        <w:rPr>
          <w:color w:val="000000"/>
          <w:highlight w:val="none"/>
        </w:rPr>
      </w:r>
      <w:r/>
    </w:p>
    <w:p>
      <w:pPr>
        <w:pStyle w:val="1874"/>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874"/>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spacing w:line="360" w:lineRule="auto"/>
        <w:rPr>
          <w:rFonts w:hint="eastAsia" w:ascii="宋体" w:hAnsi="宋体" w:eastAsia="宋体" w:cs="宋体"/>
          <w:color w:val="000000"/>
          <w:sz w:val="30"/>
          <w:szCs w:val="30"/>
          <w:highlight w:val="none"/>
          <w:lang w:eastAsia="zh-CN"/>
        </w:rPr>
        <w:outlineLvl w:val="9"/>
      </w:pPr>
      <w:r/>
      <w:bookmarkStart w:id="6" w:name="_Toc158"/>
      <w:r/>
      <w:bookmarkStart w:id="7" w:name="_Toc30450"/>
      <w:r>
        <w:rPr>
          <w:rFonts w:hint="eastAsia" w:ascii="宋体" w:hAnsi="宋体" w:cs="宋体"/>
          <w:color w:val="000000"/>
          <w:sz w:val="30"/>
          <w:szCs w:val="30"/>
          <w:highlight w:val="none"/>
        </w:rPr>
        <w:t xml:space="preserve">采购项目编号：</w:t>
      </w:r>
      <w:r>
        <w:rPr>
          <w:rFonts w:hint="eastAsia" w:ascii="宋体" w:hAnsi="宋体" w:cs="宋体"/>
          <w:color w:val="000000"/>
          <w:sz w:val="30"/>
          <w:szCs w:val="30"/>
          <w:highlight w:val="none"/>
        </w:rPr>
        <w:t xml:space="preserve">JSZC-320292-WXCJ-G2026-0019</w:t>
      </w:r>
      <w:r>
        <w:rPr>
          <w:rFonts w:hint="eastAsia" w:ascii="宋体" w:hAnsi="宋体" w:cs="宋体"/>
          <w:color w:val="000000"/>
          <w:sz w:val="30"/>
          <w:szCs w:val="30"/>
          <w:highlight w:val="none"/>
        </w:rPr>
      </w:r>
      <w:bookmarkEnd w:id="6"/>
      <w:r/>
      <w:bookmarkEnd w:id="7"/>
      <w:r/>
      <w:r/>
    </w:p>
    <w:p>
      <w:pPr>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cs="Times New Roman"/>
          <w:b w:val="0"/>
          <w:bCs/>
          <w:color w:val="000000"/>
          <w:sz w:val="30"/>
          <w:szCs w:val="30"/>
          <w:highlight w:val="none"/>
          <w:lang w:eastAsia="zh-CN"/>
        </w:rPr>
        <w:t xml:space="preserve">太湖街道安置房小区电梯综合保险项目</w:t>
      </w:r>
      <w:r/>
    </w:p>
    <w:p>
      <w:pPr>
        <w:jc w:val="left"/>
        <w:spacing w:line="360" w:lineRule="auto"/>
        <w:rPr>
          <w:rFonts w:hint="eastAsia" w:ascii="宋体" w:hAnsi="宋体" w:eastAsia="宋体" w:cs="宋体"/>
          <w:color w:val="000000"/>
          <w:sz w:val="30"/>
          <w:szCs w:val="30"/>
          <w:highlight w:val="none"/>
          <w:lang w:eastAsia="zh-CN"/>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r>
        <w:rPr>
          <w:rFonts w:hint="eastAsia" w:ascii="宋体" w:hAnsi="宋体" w:cs="宋体"/>
          <w:color w:val="000000"/>
          <w:sz w:val="30"/>
          <w:szCs w:val="30"/>
          <w:highlight w:val="none"/>
          <w:lang w:eastAsia="zh-CN"/>
        </w:rPr>
        <w:t xml:space="preserve">无锡市滨湖区太湖街道办事处</w:t>
      </w:r>
      <w:r/>
    </w:p>
    <w:p>
      <w:pPr>
        <w:spacing w:line="360" w:lineRule="auto"/>
        <w:rPr>
          <w:rFonts w:hint="eastAsia" w:ascii="宋体" w:hAnsi="宋体" w:eastAsia="宋体" w:cs="宋体"/>
          <w:color w:val="000000"/>
          <w:sz w:val="30"/>
          <w:szCs w:val="30"/>
          <w:highlight w:val="none"/>
          <w:lang w:eastAsia="zh-CN"/>
        </w:rPr>
        <w:outlineLvl w:val="9"/>
      </w:pPr>
      <w:r/>
      <w:bookmarkStart w:id="8" w:name="_Toc22627"/>
      <w:r/>
      <w:bookmarkStart w:id="9" w:name="_Toc12700"/>
      <w:r>
        <w:rPr>
          <w:rFonts w:hint="eastAsia" w:ascii="宋体" w:hAnsi="宋体" w:cs="宋体"/>
          <w:color w:val="000000"/>
          <w:sz w:val="30"/>
          <w:szCs w:val="30"/>
          <w:highlight w:val="none"/>
        </w:rPr>
        <w:t xml:space="preserve">采购代理机构：</w:t>
      </w:r>
      <w:bookmarkEnd w:id="8"/>
      <w:r/>
      <w:bookmarkEnd w:id="9"/>
      <w:r>
        <w:rPr>
          <w:rFonts w:hint="eastAsia" w:ascii="宋体" w:hAnsi="宋体" w:cs="宋体"/>
          <w:color w:val="000000"/>
          <w:sz w:val="30"/>
          <w:szCs w:val="30"/>
          <w:highlight w:val="none"/>
          <w:lang w:eastAsia="zh-CN"/>
        </w:rPr>
        <w:t xml:space="preserve">江苏成建项目管理有限公司</w:t>
      </w:r>
      <w:r/>
    </w:p>
    <w:p>
      <w:pPr>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jc w:val="center"/>
        <w:rPr>
          <w:rFonts w:hint="eastAsia" w:ascii="黑体" w:hAnsi="华文中宋" w:eastAsia="黑体"/>
          <w:bCs/>
          <w:color w:val="000000"/>
          <w:sz w:val="32"/>
          <w:szCs w:val="32"/>
          <w:highlight w:val="none"/>
        </w:rPr>
        <w:outlineLvl w:val="9"/>
      </w:pPr>
      <w:r>
        <w:rPr>
          <w:rFonts w:hint="eastAsia" w:ascii="黑体" w:hAnsi="华文中宋" w:eastAsia="黑体"/>
          <w:bCs/>
          <w:color w:val="000000"/>
          <w:sz w:val="32"/>
          <w:szCs w:val="32"/>
          <w:highlight w:val="none"/>
        </w:rPr>
      </w:r>
      <w:r/>
    </w:p>
    <w:p>
      <w:pPr>
        <w:pStyle w:val="1657"/>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rPr>
          <w:rFonts w:hint="eastAsia"/>
        </w:rPr>
      </w:pPr>
      <w:r>
        <w:rPr>
          <w:rFonts w:hint="eastAsia"/>
        </w:rPr>
      </w:r>
      <w:r/>
    </w:p>
    <w:p>
      <w:pPr>
        <w:jc w:val="center"/>
        <w:rPr>
          <w:rStyle w:val="1856"/>
          <w:rFonts w:eastAsia="黑体"/>
          <w:bCs/>
          <w:color w:val="000000"/>
          <w:sz w:val="48"/>
          <w:highlight w:val="green"/>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p>
    <w:p>
      <w:pPr>
        <w:jc w:val="center"/>
        <w:rPr>
          <w:rStyle w:val="1856"/>
          <w:rFonts w:hint="eastAsia" w:eastAsia="黑体"/>
          <w:bCs/>
          <w:color w:val="000000"/>
          <w:sz w:val="48"/>
          <w:highlight w:val="green"/>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
    </w:p>
    <w:p>
      <w:pPr>
        <w:pStyle w:val="1835"/>
        <w:rPr>
          <w:rFonts w:hint="eastAsia"/>
          <w:color w:val="000000"/>
          <w:highlight w:val="none"/>
        </w:rPr>
      </w:pPr>
      <w:r>
        <w:rPr>
          <w:rFonts w:hint="eastAsia"/>
          <w:color w:val="000000"/>
          <w:highlight w:val="none"/>
        </w:rPr>
      </w:r>
      <w:r/>
    </w:p>
    <w:p>
      <w:pPr>
        <w:pStyle w:val="1875"/>
        <w:rPr>
          <w:rFonts w:hint="eastAsia"/>
          <w:color w:val="000000"/>
          <w:highlight w:val="none"/>
        </w:rPr>
        <w:outlineLvl w:val="9"/>
      </w:pPr>
      <w:r>
        <w:rPr>
          <w:rFonts w:hint="eastAsia"/>
          <w:color w:val="000000"/>
          <w:highlight w:val="none"/>
        </w:rPr>
      </w:r>
      <w:r/>
    </w:p>
    <w:p>
      <w:pPr>
        <w:jc w:val="center"/>
        <w:rPr>
          <w:rStyle w:val="1856"/>
          <w:rFonts w:hint="eastAsia" w:ascii="宋体" w:hAnsi="宋体" w:cs="宋体"/>
          <w:b/>
          <w:color w:val="000000"/>
          <w:sz w:val="44"/>
          <w:szCs w:val="44"/>
          <w:highlight w:val="none"/>
        </w:rPr>
        <w:outlineLvl w:val="9"/>
      </w:pPr>
      <w:r/>
      <w:bookmarkStart w:id="11" w:name="_Toc15618"/>
      <w:r/>
      <w:bookmarkStart w:id="12" w:name="_Toc23032"/>
      <w:r/>
      <w:bookmarkStart w:id="13" w:name="_Toc32576"/>
      <w:r>
        <w:rPr>
          <w:rStyle w:val="1856"/>
          <w:rFonts w:hint="eastAsia" w:ascii="宋体" w:hAnsi="宋体" w:cs="宋体"/>
          <w:b/>
          <w:color w:val="000000"/>
          <w:sz w:val="44"/>
          <w:szCs w:val="44"/>
          <w:highlight w:val="none"/>
        </w:rPr>
        <w:t xml:space="preserve">目     录</w:t>
      </w:r>
      <w:bookmarkEnd w:id="10"/>
      <w:r/>
      <w:bookmarkEnd w:id="11"/>
      <w:r/>
      <w:bookmarkEnd w:id="12"/>
      <w:r/>
      <w:bookmarkEnd w:id="13"/>
      <w:r/>
      <w:r/>
    </w:p>
    <w:p>
      <w:pPr>
        <w:rPr>
          <w:color w:val="000000"/>
          <w:highlight w:val="none"/>
        </w:rPr>
      </w:pPr>
      <w:r>
        <w:rPr>
          <w:color w:val="000000"/>
          <w:highlight w:val="none"/>
        </w:rPr>
      </w:r>
      <w:r/>
    </w:p>
    <w:p>
      <w:pPr>
        <w:pStyle w:val="1840"/>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p>
    <w:p>
      <w:pPr>
        <w:pStyle w:val="1840"/>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6</w:t>
      </w:r>
      <w:r>
        <w:rPr>
          <w:rFonts w:hint="eastAsia" w:ascii="宋体" w:hAnsi="宋体" w:eastAsia="宋体" w:cs="宋体"/>
          <w:bCs/>
          <w:color w:val="000000"/>
          <w:sz w:val="28"/>
          <w:szCs w:val="28"/>
          <w:highlight w:val="none"/>
        </w:rPr>
        <w:fldChar w:fldCharType="end"/>
      </w:r>
      <w:r/>
    </w:p>
    <w:p>
      <w:pPr>
        <w:pStyle w:val="1840"/>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p>
    <w:p>
      <w:pPr>
        <w:pStyle w:val="1840"/>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lang w:val="en-US" w:eastAsia="zh-CN"/>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4</w:t>
      </w:r>
      <w:r>
        <w:rPr>
          <w:rFonts w:hint="eastAsia" w:ascii="宋体" w:hAnsi="宋体" w:eastAsia="宋体" w:cs="宋体"/>
          <w:bCs/>
          <w:color w:val="000000"/>
          <w:sz w:val="28"/>
          <w:szCs w:val="28"/>
          <w:highlight w:val="none"/>
        </w:rPr>
        <w:fldChar w:fldCharType="end"/>
      </w:r>
      <w:r>
        <w:rPr>
          <w:rFonts w:hint="eastAsia" w:ascii="宋体" w:hAnsi="宋体" w:cs="宋体"/>
          <w:bCs/>
          <w:color w:val="000000"/>
          <w:sz w:val="28"/>
          <w:szCs w:val="28"/>
          <w:highlight w:val="none"/>
          <w:lang w:val="en-US" w:eastAsia="zh-CN"/>
        </w:rPr>
        <w:t xml:space="preserve">9</w:t>
      </w:r>
      <w:r/>
    </w:p>
    <w:p>
      <w:pPr>
        <w:pStyle w:val="1840"/>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lang w:val="en-US" w:eastAsia="zh-CN"/>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5</w:t>
      </w:r>
      <w:r>
        <w:rPr>
          <w:rFonts w:hint="eastAsia" w:ascii="宋体" w:hAnsi="宋体" w:eastAsia="宋体" w:cs="宋体"/>
          <w:bCs/>
          <w:color w:val="000000"/>
          <w:sz w:val="28"/>
          <w:szCs w:val="28"/>
          <w:highlight w:val="none"/>
        </w:rPr>
        <w:fldChar w:fldCharType="end"/>
      </w:r>
      <w:r>
        <w:rPr>
          <w:rFonts w:hint="eastAsia" w:ascii="宋体" w:hAnsi="宋体" w:cs="宋体"/>
          <w:bCs/>
          <w:color w:val="000000"/>
          <w:sz w:val="28"/>
          <w:szCs w:val="28"/>
          <w:highlight w:val="none"/>
          <w:lang w:val="en-US" w:eastAsia="zh-CN"/>
        </w:rPr>
        <w:t xml:space="preserve">4</w:t>
      </w:r>
      <w:r/>
    </w:p>
    <w:p>
      <w:pPr>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p>
    <w:p>
      <w:pPr>
        <w:spacing w:line="720" w:lineRule="auto"/>
        <w:rPr>
          <w:rFonts w:ascii="宋体"/>
          <w:bCs/>
          <w:color w:val="000000"/>
          <w:sz w:val="28"/>
          <w:szCs w:val="28"/>
          <w:highlight w:val="none"/>
        </w:rPr>
      </w:pPr>
      <w:r>
        <w:rPr>
          <w:rFonts w:ascii="宋体"/>
          <w:bCs/>
          <w:color w:val="000000"/>
          <w:sz w:val="28"/>
          <w:szCs w:val="28"/>
          <w:highlight w:val="none"/>
        </w:rPr>
      </w:r>
      <w:r/>
    </w:p>
    <w:p>
      <w:pPr>
        <w:spacing w:line="720" w:lineRule="auto"/>
        <w:rPr>
          <w:rFonts w:ascii="宋体"/>
          <w:bCs/>
          <w:color w:val="000000"/>
          <w:sz w:val="30"/>
          <w:highlight w:val="none"/>
        </w:rPr>
      </w:pPr>
      <w:r>
        <w:rPr>
          <w:rFonts w:ascii="宋体"/>
          <w:bCs/>
          <w:color w:val="000000"/>
          <w:sz w:val="30"/>
          <w:highlight w:val="none"/>
        </w:rPr>
      </w:r>
      <w:r/>
    </w:p>
    <w:p>
      <w:pPr>
        <w:spacing w:line="480" w:lineRule="auto"/>
        <w:rPr>
          <w:rFonts w:ascii="宋体"/>
          <w:bCs/>
          <w:color w:val="000000"/>
          <w:sz w:val="30"/>
          <w:highlight w:val="none"/>
        </w:rPr>
      </w:pPr>
      <w:r>
        <w:rPr>
          <w:rFonts w:ascii="宋体"/>
          <w:bCs/>
          <w:color w:val="000000"/>
          <w:sz w:val="30"/>
          <w:highlight w:val="none"/>
        </w:rPr>
      </w:r>
      <w:r/>
    </w:p>
    <w:p>
      <w:pPr>
        <w:rPr>
          <w:rFonts w:ascii="宋体"/>
          <w:bCs/>
          <w:color w:val="000000"/>
          <w:sz w:val="28"/>
          <w:highlight w:val="none"/>
        </w:rPr>
      </w:pPr>
      <w:r>
        <w:rPr>
          <w:rFonts w:ascii="宋体"/>
          <w:bCs/>
          <w:color w:val="000000"/>
          <w:sz w:val="28"/>
          <w:highlight w:val="none"/>
        </w:rPr>
      </w:r>
      <w:r/>
    </w:p>
    <w:p>
      <w:pPr>
        <w:rPr>
          <w:rFonts w:ascii="宋体"/>
          <w:bCs/>
          <w:color w:val="000000"/>
          <w:sz w:val="32"/>
          <w:highlight w:val="none"/>
        </w:rPr>
      </w:pPr>
      <w:r>
        <w:rPr>
          <w:rFonts w:ascii="宋体"/>
          <w:bCs/>
          <w:color w:val="000000"/>
          <w:sz w:val="32"/>
          <w:highlight w:val="none"/>
        </w:rPr>
      </w:r>
      <w:r/>
    </w:p>
    <w:p>
      <w:pPr>
        <w:rPr>
          <w:rFonts w:ascii="宋体"/>
          <w:bCs/>
          <w:color w:val="000000"/>
          <w:sz w:val="32"/>
          <w:highlight w:val="none"/>
        </w:rPr>
      </w:pPr>
      <w:r>
        <w:rPr>
          <w:rFonts w:ascii="宋体"/>
          <w:bCs/>
          <w:color w:val="000000"/>
          <w:sz w:val="32"/>
          <w:highlight w:val="none"/>
        </w:rPr>
      </w:r>
      <w:r/>
    </w:p>
    <w:p>
      <w:pPr>
        <w:jc w:val="center"/>
        <w:spacing w:line="360" w:lineRule="auto"/>
        <w:rPr>
          <w:rFonts w:hint="eastAsia" w:ascii="宋体" w:hAnsi="宋体" w:cs="宋体"/>
          <w:b/>
          <w:color w:val="000000"/>
          <w:sz w:val="30"/>
          <w:szCs w:val="30"/>
          <w:highlight w:val="none"/>
        </w:rPr>
        <w:sectPr>
          <w:headerReference w:type="default" r:id="rId11"/>
          <w:footerReference w:type="default" r:id="rId18"/>
          <w:footerReference w:type="even"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0"/>
      </w:pPr>
      <w:r/>
      <w:bookmarkStart w:id="14" w:name="报价方须知前附表"/>
      <w:r/>
      <w:bookmarkEnd w:id="14"/>
      <w:r/>
      <w:bookmarkStart w:id="15" w:name="_Toc24814"/>
      <w:r/>
      <w:r/>
    </w:p>
    <w:p>
      <w:pPr>
        <w:jc w:val="center"/>
        <w:spacing w:line="360" w:lineRule="auto"/>
        <w:rPr>
          <w:rFonts w:hint="eastAsia" w:ascii="Times New Roman" w:hAnsi="宋体" w:eastAsia="宋体" w:cs="宋体"/>
          <w:b/>
          <w:bCs/>
          <w:sz w:val="32"/>
          <w:szCs w:val="32"/>
          <w:highlight w:val="none"/>
        </w:rPr>
        <w:outlineLvl w:val="0"/>
      </w:pPr>
      <w:r/>
      <w:bookmarkStart w:id="16" w:name="_Toc622"/>
      <w:r/>
      <w:bookmarkStart w:id="17" w:name="_Toc13603"/>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江苏成建项目管理有限公司</w:t>
      </w:r>
      <w:r>
        <w:rPr>
          <w:rFonts w:hint="eastAsia" w:ascii="宋体" w:hAnsi="宋体" w:cs="宋体"/>
          <w:bCs/>
          <w:color w:val="000000"/>
          <w:sz w:val="24"/>
          <w:szCs w:val="24"/>
          <w:highlight w:val="none"/>
        </w:rPr>
        <w:t xml:space="preserve">受</w:t>
      </w:r>
      <w:r>
        <w:rPr>
          <w:rFonts w:hint="eastAsia" w:ascii="宋体" w:hAnsi="宋体" w:cs="宋体"/>
          <w:color w:val="000000"/>
          <w:sz w:val="24"/>
          <w:szCs w:val="24"/>
          <w:highlight w:val="none"/>
          <w:lang w:eastAsia="zh-CN"/>
        </w:rPr>
        <w:t xml:space="preserve">无锡市滨湖区太湖街道办事处</w:t>
      </w:r>
      <w:r>
        <w:rPr>
          <w:rFonts w:hint="eastAsia" w:ascii="宋体" w:hAnsi="宋体" w:cs="宋体"/>
          <w:color w:val="000000"/>
          <w:sz w:val="24"/>
          <w:szCs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太湖街道安置房小区电梯综合保险项目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p>
    <w:p>
      <w:pPr>
        <w:ind w:firstLine="482"/>
        <w:spacing w:line="360" w:lineRule="auto"/>
        <w:rPr>
          <w:rFonts w:hint="eastAsia" w:ascii="宋体" w:hAnsi="宋体" w:cs="宋体"/>
          <w:b/>
          <w:bCs w:val="0"/>
          <w:color w:val="000000"/>
          <w:sz w:val="24"/>
          <w:szCs w:val="24"/>
          <w:highlight w:val="none"/>
        </w:rPr>
        <w:outlineLvl w:val="1"/>
      </w:pPr>
      <w:r/>
      <w:bookmarkStart w:id="18" w:name="_Toc24863"/>
      <w:r/>
      <w:bookmarkStart w:id="19" w:name="_Toc23923"/>
      <w:r>
        <w:rPr>
          <w:rFonts w:hint="eastAsia" w:ascii="宋体" w:hAnsi="宋体" w:cs="宋体"/>
          <w:b/>
          <w:bCs w:val="0"/>
          <w:color w:val="000000"/>
          <w:sz w:val="24"/>
          <w:szCs w:val="24"/>
          <w:highlight w:val="none"/>
        </w:rPr>
        <w:t xml:space="preserve">（一）招标项目信息</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太湖街道安置房小区电梯综合保险项目</w:t>
      </w:r>
      <w:r/>
    </w:p>
    <w:p>
      <w:pPr>
        <w:ind w:firstLine="480"/>
        <w:spacing w:line="360" w:lineRule="auto"/>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rPr>
        <w:t xml:space="preserve">JSZC-320292-WXCJ-G2026-0019</w:t>
      </w:r>
      <w:r>
        <w:rPr>
          <w:highlight w:val="none"/>
        </w:rPr>
      </w:r>
      <w:r/>
    </w:p>
    <w:p>
      <w:pPr>
        <w:ind w:firstLine="480"/>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3、项目预算</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473.55</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lang w:val="en-US" w:eastAsia="zh-CN"/>
        </w:rPr>
        <w:t xml:space="preserve">/三年</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157.85万元/年；其中：</w:t>
      </w:r>
      <w:r/>
    </w:p>
    <w:p>
      <w:pPr>
        <w:ind w:firstLine="480"/>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采购包1：259.35万元/三年，86.45万元/年；</w:t>
      </w:r>
      <w:r/>
    </w:p>
    <w:p>
      <w:pPr>
        <w:ind w:firstLine="480"/>
        <w:spacing w:line="360" w:lineRule="auto"/>
        <w:rPr>
          <w:rFonts w:hint="default"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采购包2：214.2万元/三年，71.4万元/年；</w:t>
      </w:r>
      <w:r/>
    </w:p>
    <w:p>
      <w:pPr>
        <w:ind w:firstLine="787"/>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最高限价：</w:t>
      </w:r>
      <w:r>
        <w:rPr>
          <w:rFonts w:hint="eastAsia" w:ascii="宋体" w:hAnsi="宋体" w:cs="宋体"/>
          <w:bCs/>
          <w:color w:val="000000"/>
          <w:sz w:val="24"/>
          <w:szCs w:val="24"/>
          <w:highlight w:val="none"/>
          <w:lang w:val="en-US" w:eastAsia="zh-CN"/>
        </w:rPr>
        <w:t xml:space="preserve">473.55</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lang w:val="en-US" w:eastAsia="zh-CN"/>
        </w:rPr>
        <w:t xml:space="preserve">/三年</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157.85万元/年</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其中：</w:t>
      </w:r>
      <w:r/>
    </w:p>
    <w:p>
      <w:pPr>
        <w:ind w:firstLine="480"/>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采购包1：259.35万元/三年，86.45万元/年；</w:t>
      </w:r>
      <w:r/>
    </w:p>
    <w:p>
      <w:pPr>
        <w:ind w:firstLine="480"/>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采购包2：214.2万元/三年，71.4万元/年；</w:t>
      </w:r>
      <w:r/>
    </w:p>
    <w:p>
      <w:pPr>
        <w:ind w:firstLine="78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各采购包</w:t>
      </w:r>
      <w:r>
        <w:rPr>
          <w:rFonts w:hint="eastAsia" w:ascii="宋体" w:hAnsi="宋体" w:cs="宋体"/>
          <w:bCs/>
          <w:color w:val="000000"/>
          <w:sz w:val="24"/>
          <w:szCs w:val="24"/>
          <w:highlight w:val="none"/>
        </w:rPr>
        <w:t xml:space="preserve">投标报价不得超过</w:t>
      </w:r>
      <w:r>
        <w:rPr>
          <w:rFonts w:hint="eastAsia" w:ascii="宋体" w:hAnsi="宋体" w:cs="宋体"/>
          <w:bCs/>
          <w:color w:val="000000"/>
          <w:sz w:val="24"/>
          <w:szCs w:val="24"/>
          <w:highlight w:val="none"/>
          <w:lang w:val="en-US" w:eastAsia="zh-CN"/>
        </w:rPr>
        <w:t xml:space="preserve">对应采购包的</w:t>
      </w:r>
      <w:r>
        <w:rPr>
          <w:rFonts w:hint="eastAsia" w:ascii="宋体" w:hAnsi="宋体" w:cs="宋体"/>
          <w:bCs/>
          <w:color w:val="000000"/>
          <w:sz w:val="24"/>
          <w:szCs w:val="24"/>
          <w:highlight w:val="none"/>
        </w:rPr>
        <w:t xml:space="preserve">最高限价，否则作无效</w:t>
      </w:r>
      <w:r>
        <w:rPr>
          <w:rFonts w:hint="eastAsia" w:ascii="宋体" w:hAnsi="宋体" w:cs="宋体"/>
          <w:bCs/>
          <w:color w:val="000000"/>
          <w:sz w:val="24"/>
          <w:szCs w:val="24"/>
          <w:highlight w:val="none"/>
          <w:lang w:eastAsia="zh-CN"/>
        </w:rPr>
        <w:t xml:space="preserve">投标文件</w:t>
      </w:r>
      <w:r>
        <w:rPr>
          <w:rFonts w:hint="eastAsia" w:ascii="宋体" w:hAnsi="宋体" w:cs="宋体"/>
          <w:bCs/>
          <w:color w:val="000000"/>
          <w:sz w:val="24"/>
          <w:szCs w:val="24"/>
          <w:highlight w:val="none"/>
        </w:rPr>
        <w:t xml:space="preserve">处理。</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.采购需求：</w:t>
      </w:r>
      <w:r>
        <w:rPr>
          <w:rFonts w:hint="eastAsia" w:ascii="宋体" w:hAnsi="宋体" w:cs="宋体"/>
          <w:bCs/>
          <w:color w:val="000000"/>
          <w:sz w:val="24"/>
          <w:highlight w:val="none"/>
          <w:lang w:val="en-US" w:eastAsia="zh-CN"/>
        </w:rPr>
        <w:t xml:space="preserve">本次</w:t>
      </w:r>
      <w:r>
        <w:rPr>
          <w:rFonts w:hint="eastAsia" w:ascii="宋体" w:hAnsi="宋体" w:cs="宋体"/>
          <w:sz w:val="24"/>
          <w:highlight w:val="none"/>
          <w:lang w:eastAsia="zh-CN"/>
        </w:rPr>
        <w:t xml:space="preserve">太湖街道安置房小区电梯综合保险项目</w:t>
      </w:r>
      <w:r>
        <w:rPr>
          <w:rFonts w:hint="eastAsia" w:ascii="宋体" w:hAnsi="宋体" w:cs="宋体"/>
          <w:sz w:val="24"/>
          <w:highlight w:val="none"/>
          <w:lang w:val="en-US" w:eastAsia="zh-CN"/>
        </w:rPr>
        <w:t xml:space="preserve">共涉及6个小区共计451台电梯：（1）周新苑四期：131台；（2）周新苑五期：72台；（3）丰裕苑二期：44台；（4）周新苑三期二批：91台；（5）梁南苑：68台；（6）瑞雪家园：45台。</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本项目共设2个采购包：</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采购包1：周新苑四期、五期以及丰裕苑二期，电梯总数247台</w:t>
      </w:r>
      <w:r/>
    </w:p>
    <w:p>
      <w:pPr>
        <w:ind w:firstLine="480"/>
        <w:jc w:val="left"/>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采购包2：周新苑三期二批、梁南苑以及瑞雪家园，电梯总数204台</w:t>
      </w:r>
      <w:r/>
    </w:p>
    <w:p>
      <w:pPr>
        <w:ind w:firstLine="48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cs="宋体"/>
          <w:sz w:val="24"/>
          <w:highlight w:val="none"/>
          <w:lang w:eastAsia="zh-CN"/>
        </w:rPr>
        <w:t xml:space="preserve">具体</w:t>
      </w:r>
      <w:r>
        <w:rPr>
          <w:rFonts w:hint="eastAsia" w:ascii="宋体" w:hAnsi="宋体" w:cs="宋体"/>
          <w:sz w:val="24"/>
          <w:highlight w:val="none"/>
          <w:lang w:val="en-US" w:eastAsia="zh-CN"/>
        </w:rPr>
        <w:t xml:space="preserve">服务</w:t>
      </w:r>
      <w:r>
        <w:rPr>
          <w:rFonts w:hint="eastAsia" w:ascii="宋体" w:hAnsi="宋体" w:cs="宋体"/>
          <w:sz w:val="24"/>
          <w:highlight w:val="none"/>
          <w:lang w:eastAsia="zh-CN"/>
        </w:rPr>
        <w:t xml:space="preserve">内容详见“第三</w:t>
      </w:r>
      <w:r>
        <w:rPr>
          <w:rFonts w:hint="eastAsia" w:ascii="宋体" w:hAnsi="宋体" w:cs="宋体"/>
          <w:sz w:val="24"/>
          <w:highlight w:val="none"/>
          <w:lang w:val="en-US" w:eastAsia="zh-CN"/>
        </w:rPr>
        <w:t xml:space="preserve">部分</w:t>
      </w:r>
      <w:r>
        <w:rPr>
          <w:rFonts w:hint="eastAsia" w:ascii="宋体" w:hAnsi="宋体" w:cs="宋体"/>
          <w:sz w:val="24"/>
          <w:highlight w:val="none"/>
          <w:lang w:eastAsia="zh-CN"/>
        </w:rPr>
        <w:t xml:space="preserve">采购需求”</w:t>
      </w:r>
      <w:r>
        <w:rPr>
          <w:rFonts w:hint="eastAsia" w:ascii="宋体" w:hAnsi="宋体" w:cs="宋体"/>
          <w:sz w:val="24"/>
          <w:highlight w:val="none"/>
        </w:rPr>
        <w:t xml:space="preserve">；</w:t>
      </w:r>
      <w:r/>
    </w:p>
    <w:p>
      <w:pPr>
        <w:ind w:firstLine="480"/>
        <w:spacing w:line="360" w:lineRule="auto"/>
        <w:rPr>
          <w:rFonts w:ascii="宋体" w:hAnsi="宋体" w:cs="宋体"/>
          <w:bCs/>
          <w:color w:val="000000"/>
          <w:sz w:val="24"/>
          <w:szCs w:val="24"/>
          <w:highlight w:val="none"/>
          <w:lang w:val="en-US"/>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sz w:val="24"/>
          <w:highlight w:val="none"/>
        </w:rPr>
        <w:t xml:space="preserve">合同履行期限：</w:t>
      </w:r>
      <w:r>
        <w:rPr>
          <w:rFonts w:hint="eastAsia" w:ascii="宋体" w:hAnsi="宋体" w:cs="宋体"/>
          <w:sz w:val="24"/>
          <w:szCs w:val="24"/>
          <w:highlight w:val="none"/>
          <w:lang w:val="en-US" w:eastAsia="zh-CN"/>
        </w:rPr>
        <w:t xml:space="preserve">三年</w:t>
      </w:r>
      <w:r>
        <w:rPr>
          <w:rFonts w:hint="eastAsia" w:asciiTheme="majorEastAsia" w:hAnsiTheme="majorEastAsia"/>
          <w:sz w:val="24"/>
          <w:szCs w:val="24"/>
          <w:highlight w:val="none"/>
          <w:lang w:eastAsia="zh-CN"/>
        </w:rPr>
        <w:t xml:space="preserve">（</w:t>
      </w:r>
      <w:r>
        <w:rPr>
          <w:rFonts w:hint="eastAsia" w:asciiTheme="majorEastAsia" w:hAnsiTheme="majorEastAsia"/>
          <w:sz w:val="24"/>
          <w:szCs w:val="24"/>
          <w:highlight w:val="none"/>
          <w:lang w:val="en-US" w:eastAsia="zh-CN"/>
        </w:rPr>
        <w:t xml:space="preserve">合同一年一签，具体时间根据合同约定</w:t>
      </w:r>
      <w:r>
        <w:rPr>
          <w:rFonts w:hint="eastAsia" w:asciiTheme="majorEastAsia" w:hAnsiTheme="majorEastAsia"/>
          <w:sz w:val="24"/>
          <w:szCs w:val="24"/>
          <w:highlight w:val="none"/>
          <w:lang w:eastAsia="zh-CN"/>
        </w:rPr>
        <w:t xml:space="preserve">）；</w:t>
      </w:r>
      <w:r/>
    </w:p>
    <w:p>
      <w:pPr>
        <w:ind w:firstLine="480"/>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6、</w:t>
      </w:r>
      <w:r>
        <w:rPr>
          <w:rFonts w:hint="eastAsia" w:ascii="宋体" w:hAnsi="宋体" w:cs="宋体"/>
          <w:sz w:val="24"/>
        </w:rPr>
        <w:t xml:space="preserve">服务质量要求</w:t>
      </w:r>
      <w:r>
        <w:rPr>
          <w:rFonts w:hint="eastAsia" w:ascii="宋体" w:hAnsi="宋体"/>
          <w:sz w:val="24"/>
        </w:rPr>
        <w:t xml:space="preserve">：</w:t>
      </w:r>
      <w:r>
        <w:rPr>
          <w:rFonts w:hint="eastAsia" w:ascii="宋体" w:hAnsi="宋体" w:cs="宋体"/>
          <w:bCs/>
          <w:color w:val="000000"/>
          <w:sz w:val="24"/>
          <w:highlight w:val="none"/>
          <w:lang w:eastAsia="zh-CN"/>
        </w:rPr>
        <w:t xml:space="preserve">达到国家及行业合格标准，且必须满足本次采购的要求；</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采购方式：公开招标</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无锡市滨湖区太湖街道办事处</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本项目标的所属行业：其他未列明行业。根据《关于印发中小企业划型标准规定的通知》工信部联企业〔2011〕300号规定，其他未列明行业</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、本项目是否专门面向</w:t>
      </w:r>
      <w:r>
        <w:rPr>
          <w:rFonts w:hint="eastAsia" w:eastAsia="宋体" w:cs="宋体"/>
          <w:b w:val="0"/>
          <w:bCs/>
          <w:color w:val="000000"/>
          <w:sz w:val="24"/>
          <w:szCs w:val="24"/>
          <w:highlight w:val="none"/>
          <w:lang w:val="en-US" w:eastAsia="zh-CN"/>
        </w:rPr>
        <w:t xml:space="preserve">中小</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否</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本项目</w:t>
      </w:r>
      <w:r>
        <w:rPr>
          <w:rFonts w:hint="eastAsia" w:ascii="宋体" w:hAnsi="宋体" w:cs="宋体"/>
          <w:b/>
          <w:bCs w:val="0"/>
          <w:color w:val="000000"/>
          <w:sz w:val="24"/>
          <w:szCs w:val="24"/>
          <w:highlight w:val="none"/>
          <w:u w:val="single"/>
        </w:rPr>
        <w:t xml:space="preserve">不接受</w:t>
      </w:r>
      <w:r>
        <w:rPr>
          <w:rFonts w:hint="eastAsia" w:ascii="宋体" w:hAnsi="宋体" w:cs="宋体"/>
          <w:bCs/>
          <w:color w:val="000000"/>
          <w:sz w:val="24"/>
          <w:szCs w:val="24"/>
          <w:highlight w:val="none"/>
        </w:rPr>
        <w:t xml:space="preserve">联合体投标</w:t>
      </w:r>
      <w:r>
        <w:rPr>
          <w:rFonts w:hint="eastAsia" w:ascii="宋体" w:hAnsi="宋体" w:cs="宋体"/>
          <w:bCs/>
          <w:color w:val="000000"/>
          <w:sz w:val="24"/>
          <w:szCs w:val="24"/>
          <w:highlight w:val="none"/>
          <w:lang w:eastAsia="zh-CN"/>
        </w:rPr>
        <w:t xml:space="preserve">。</w:t>
      </w:r>
      <w:r/>
    </w:p>
    <w:p>
      <w:pPr>
        <w:ind w:firstLine="480"/>
        <w:spacing w:line="360" w:lineRule="auto"/>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、本项目无需缴纳投标保证金以及履约保证金</w:t>
      </w:r>
      <w:r>
        <w:rPr>
          <w:rFonts w:hint="eastAsia" w:ascii="宋体" w:hAnsi="宋体" w:cs="宋体"/>
          <w:b w:val="0"/>
          <w:bCs/>
          <w:color w:val="000000"/>
          <w:sz w:val="24"/>
          <w:szCs w:val="24"/>
          <w:highlight w:val="none"/>
          <w:lang w:val="en-US" w:eastAsia="zh-CN"/>
        </w:rPr>
        <w:t xml:space="preserve">。</w:t>
      </w:r>
      <w:r/>
    </w:p>
    <w:p>
      <w:pPr>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（二）供应商资格要求</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1、满足《中华人民共和国政府采购法》第二十二条规定；</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3、落实政府采购政策需满足的资格要求：</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4、本项目的特定资格要求：投标人须具备中国保监会核发的《经营保险业务许可证》且符合</w:t>
      </w:r>
      <w:r>
        <w:rPr>
          <w:rFonts w:hint="eastAsia" w:ascii="宋体" w:hAnsi="宋体" w:eastAsia="宋体" w:cs="宋体"/>
          <w:bCs/>
          <w:color w:val="000000"/>
          <w:sz w:val="24"/>
          <w:szCs w:val="24"/>
          <w:highlight w:val="none"/>
          <w:lang w:eastAsia="zh-CN"/>
        </w:rPr>
        <w:t xml:space="preserve">保监会</w:t>
      </w:r>
      <w:r>
        <w:rPr>
          <w:rFonts w:hint="eastAsia" w:ascii="宋体" w:hAnsi="宋体" w:eastAsia="宋体" w:cs="宋体"/>
          <w:bCs/>
          <w:color w:val="000000"/>
          <w:sz w:val="24"/>
          <w:szCs w:val="24"/>
          <w:highlight w:val="none"/>
        </w:rPr>
        <w:t xml:space="preserve">规定的经营财产保险的必备条件（提供许可证证书</w:t>
      </w:r>
      <w:r>
        <w:rPr>
          <w:rFonts w:hint="eastAsia" w:ascii="宋体" w:hAnsi="宋体" w:eastAsia="宋体" w:cs="宋体"/>
          <w:bCs/>
          <w:color w:val="000000"/>
          <w:sz w:val="24"/>
          <w:szCs w:val="24"/>
          <w:highlight w:val="none"/>
          <w:lang w:val="en-US" w:eastAsia="zh-CN"/>
        </w:rPr>
        <w:t xml:space="preserve">扫描件并电子签章</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若为经独立法人授权经营的分支机构，提供分公司保险许可证</w:t>
      </w:r>
      <w:r>
        <w:rPr>
          <w:rFonts w:hint="eastAsia" w:ascii="宋体" w:hAnsi="宋体" w:eastAsia="宋体" w:cs="宋体"/>
          <w:bCs/>
          <w:color w:val="000000"/>
          <w:sz w:val="24"/>
          <w:szCs w:val="24"/>
          <w:highlight w:val="none"/>
          <w:lang w:val="en-US" w:eastAsia="zh-CN"/>
        </w:rPr>
        <w:t xml:space="preserve">扫描件并电子签章</w:t>
      </w:r>
      <w:r>
        <w:rPr>
          <w:rFonts w:hint="eastAsia" w:ascii="宋体" w:hAnsi="宋体" w:eastAsia="宋体" w:cs="宋体"/>
          <w:bCs/>
          <w:color w:val="000000"/>
          <w:sz w:val="24"/>
          <w:szCs w:val="24"/>
          <w:highlight w:val="none"/>
        </w:rPr>
        <w:t xml:space="preserve">）。</w:t>
      </w:r>
      <w:r/>
    </w:p>
    <w:p>
      <w:pPr>
        <w:ind w:firstLine="482"/>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5、其他规定：</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（2）同一保险集团公司的不同分（子）公司、总公司与下属分（子）公司不得同时参加本项目公开招标。</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采购人有权对以上资格条件进行核查，如报价供应商有弄虚作假行为或不具备以上条件的将取消公开招标资格。</w:t>
      </w:r>
      <w:r/>
    </w:p>
    <w:p>
      <w:pPr>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
          <w:bCs/>
          <w:color w:val="ff0000"/>
          <w:sz w:val="24"/>
          <w:highlight w:val="none"/>
        </w:rPr>
        <w:t xml:space="preserve">本次招标共划分</w:t>
      </w:r>
      <w:r>
        <w:rPr>
          <w:rFonts w:hint="eastAsia" w:ascii="宋体" w:hAnsi="宋体" w:eastAsia="宋体" w:cs="宋体"/>
          <w:b/>
          <w:bCs/>
          <w:color w:val="ff0000"/>
          <w:sz w:val="24"/>
          <w:highlight w:val="none"/>
          <w:lang w:val="en-US" w:eastAsia="zh-CN"/>
        </w:rPr>
        <w:t xml:space="preserve">两个采购包</w:t>
      </w:r>
      <w:r>
        <w:rPr>
          <w:rFonts w:hint="eastAsia" w:ascii="宋体" w:hAnsi="宋体" w:eastAsia="宋体" w:cs="宋体"/>
          <w:b/>
          <w:bCs/>
          <w:color w:val="ff0000"/>
          <w:sz w:val="24"/>
          <w:highlight w:val="none"/>
        </w:rPr>
        <w:t xml:space="preserve">，</w:t>
      </w:r>
      <w:r>
        <w:rPr>
          <w:rFonts w:hint="eastAsia" w:ascii="宋体" w:hAnsi="宋体" w:eastAsia="宋体" w:cs="宋体"/>
          <w:b/>
          <w:bCs/>
          <w:color w:val="ff0000"/>
          <w:sz w:val="24"/>
          <w:highlight w:val="none"/>
          <w:lang w:val="en-US" w:eastAsia="zh-CN"/>
        </w:rPr>
        <w:t xml:space="preserve">兼投不兼中。</w:t>
      </w:r>
      <w:r>
        <w:rPr>
          <w:rFonts w:hint="eastAsia" w:ascii="宋体" w:hAnsi="宋体" w:eastAsia="宋体" w:cs="宋体"/>
          <w:b/>
          <w:bCs/>
          <w:color w:val="ff0000"/>
          <w:sz w:val="24"/>
          <w:highlight w:val="none"/>
        </w:rPr>
        <w:t xml:space="preserve">供应商均可投标，但最多只能中一个</w:t>
      </w:r>
      <w:r>
        <w:rPr>
          <w:rFonts w:hint="eastAsia" w:ascii="宋体" w:hAnsi="宋体" w:eastAsia="宋体" w:cs="宋体"/>
          <w:b/>
          <w:bCs/>
          <w:color w:val="ff0000"/>
          <w:sz w:val="24"/>
          <w:highlight w:val="none"/>
          <w:lang w:val="en-US" w:eastAsia="zh-CN"/>
        </w:rPr>
        <w:t xml:space="preserve">采购包</w:t>
      </w:r>
      <w:r>
        <w:rPr>
          <w:rFonts w:hint="eastAsia" w:ascii="宋体" w:hAnsi="宋体" w:eastAsia="宋体" w:cs="宋体"/>
          <w:b/>
          <w:bCs/>
          <w:color w:val="ff0000"/>
          <w:sz w:val="24"/>
          <w:highlight w:val="none"/>
        </w:rPr>
        <w:t xml:space="preserve">，由综合评分排名第一的供应商中标。评分排名均第一的情况下，按</w:t>
      </w:r>
      <w:r>
        <w:rPr>
          <w:rFonts w:hint="eastAsia" w:ascii="宋体" w:hAnsi="宋体" w:eastAsia="宋体" w:cs="宋体"/>
          <w:b/>
          <w:bCs/>
          <w:color w:val="ff0000"/>
          <w:sz w:val="24"/>
          <w:highlight w:val="none"/>
          <w:lang w:val="en-US" w:eastAsia="zh-CN"/>
        </w:rPr>
        <w:t xml:space="preserve">采购包</w:t>
      </w:r>
      <w:r>
        <w:rPr>
          <w:rFonts w:hint="eastAsia" w:ascii="宋体" w:hAnsi="宋体" w:eastAsia="宋体" w:cs="宋体"/>
          <w:b/>
          <w:bCs/>
          <w:color w:val="ff0000"/>
          <w:sz w:val="24"/>
          <w:highlight w:val="none"/>
        </w:rPr>
        <w:t xml:space="preserve">顺序确定中标</w:t>
      </w:r>
      <w:r>
        <w:rPr>
          <w:rFonts w:hint="eastAsia" w:ascii="宋体" w:hAnsi="宋体" w:eastAsia="宋体" w:cs="宋体"/>
          <w:b/>
          <w:bCs/>
          <w:color w:val="ff0000"/>
          <w:sz w:val="24"/>
          <w:highlight w:val="none"/>
          <w:lang w:val="en-US" w:eastAsia="zh-CN"/>
        </w:rPr>
        <w:t xml:space="preserve">采购包</w:t>
      </w:r>
      <w:r>
        <w:rPr>
          <w:rFonts w:hint="eastAsia" w:ascii="宋体" w:hAnsi="宋体" w:eastAsia="宋体" w:cs="宋体"/>
          <w:b/>
          <w:bCs/>
          <w:color w:val="ff0000"/>
          <w:sz w:val="24"/>
          <w:highlight w:val="none"/>
        </w:rPr>
        <w:t xml:space="preserve">（例：供应商同时投标了</w:t>
      </w:r>
      <w:r>
        <w:rPr>
          <w:rFonts w:hint="eastAsia" w:ascii="宋体" w:hAnsi="宋体" w:eastAsia="宋体" w:cs="宋体"/>
          <w:b/>
          <w:bCs/>
          <w:color w:val="ff0000"/>
          <w:sz w:val="24"/>
          <w:highlight w:val="none"/>
          <w:lang w:val="en-US" w:eastAsia="zh-CN"/>
        </w:rPr>
        <w:t xml:space="preserve">采购包1</w:t>
      </w:r>
      <w:r>
        <w:rPr>
          <w:rFonts w:hint="eastAsia" w:ascii="宋体" w:hAnsi="宋体" w:eastAsia="宋体" w:cs="宋体"/>
          <w:b/>
          <w:bCs/>
          <w:color w:val="ff0000"/>
          <w:sz w:val="24"/>
          <w:highlight w:val="none"/>
          <w:lang w:eastAsia="zh-CN"/>
        </w:rPr>
        <w:t xml:space="preserve">、</w:t>
      </w:r>
      <w:r>
        <w:rPr>
          <w:rFonts w:hint="eastAsia" w:ascii="宋体" w:hAnsi="宋体" w:eastAsia="宋体" w:cs="宋体"/>
          <w:b/>
          <w:bCs/>
          <w:color w:val="ff0000"/>
          <w:sz w:val="24"/>
          <w:highlight w:val="none"/>
          <w:lang w:val="en-US" w:eastAsia="zh-CN"/>
        </w:rPr>
        <w:t xml:space="preserve">采购包2</w:t>
      </w:r>
      <w:r>
        <w:rPr>
          <w:rFonts w:hint="eastAsia" w:ascii="宋体" w:hAnsi="宋体" w:eastAsia="宋体" w:cs="宋体"/>
          <w:b/>
          <w:bCs/>
          <w:color w:val="ff0000"/>
          <w:sz w:val="24"/>
          <w:highlight w:val="none"/>
        </w:rPr>
        <w:t xml:space="preserve">，且在</w:t>
      </w:r>
      <w:r>
        <w:rPr>
          <w:rFonts w:hint="eastAsia" w:ascii="宋体" w:hAnsi="宋体" w:eastAsia="宋体" w:cs="宋体"/>
          <w:b/>
          <w:bCs/>
          <w:color w:val="ff0000"/>
          <w:sz w:val="24"/>
          <w:highlight w:val="none"/>
          <w:lang w:val="en-US" w:eastAsia="zh-CN"/>
        </w:rPr>
        <w:t xml:space="preserve">每个采购包</w:t>
      </w:r>
      <w:r>
        <w:rPr>
          <w:rFonts w:hint="eastAsia" w:ascii="宋体" w:hAnsi="宋体" w:eastAsia="宋体" w:cs="宋体"/>
          <w:b/>
          <w:bCs/>
          <w:color w:val="ff0000"/>
          <w:sz w:val="24"/>
          <w:highlight w:val="none"/>
        </w:rPr>
        <w:t xml:space="preserve">的综合评分排名均为第一，则优先中标</w:t>
      </w:r>
      <w:r>
        <w:rPr>
          <w:rFonts w:hint="eastAsia" w:ascii="宋体" w:hAnsi="宋体" w:eastAsia="宋体" w:cs="宋体"/>
          <w:b/>
          <w:bCs/>
          <w:color w:val="ff0000"/>
          <w:sz w:val="24"/>
          <w:highlight w:val="none"/>
          <w:lang w:val="en-US" w:eastAsia="zh-CN"/>
        </w:rPr>
        <w:t xml:space="preserve">采购包1</w:t>
      </w:r>
      <w:r>
        <w:rPr>
          <w:rFonts w:hint="eastAsia" w:ascii="宋体" w:hAnsi="宋体" w:eastAsia="宋体" w:cs="宋体"/>
          <w:b/>
          <w:bCs/>
          <w:color w:val="ff0000"/>
          <w:sz w:val="24"/>
          <w:highlight w:val="none"/>
        </w:rPr>
        <w:t xml:space="preserve">。</w:t>
      </w:r>
      <w:r>
        <w:rPr>
          <w:rFonts w:hint="eastAsia" w:ascii="宋体" w:hAnsi="宋体" w:eastAsia="宋体" w:cs="宋体"/>
          <w:b/>
          <w:bCs/>
          <w:color w:val="ff0000"/>
          <w:sz w:val="24"/>
          <w:highlight w:val="none"/>
          <w:lang w:val="en-US" w:eastAsia="zh-CN"/>
        </w:rPr>
        <w:t xml:space="preserve">采购包2</w:t>
      </w:r>
      <w:r>
        <w:rPr>
          <w:rFonts w:hint="eastAsia" w:ascii="宋体" w:hAnsi="宋体" w:eastAsia="宋体" w:cs="宋体"/>
          <w:b/>
          <w:bCs/>
          <w:color w:val="ff0000"/>
          <w:sz w:val="24"/>
          <w:highlight w:val="none"/>
        </w:rPr>
        <w:t xml:space="preserve">由排名第二的报价供应商中标，依此类推。</w:t>
      </w:r>
      <w:r/>
    </w:p>
    <w:p>
      <w:pPr>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（三）供应商主体信息库注册</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请有意参加本项目投标的供应商按以下流程进行操作：</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（2）办理并领取CA和电子签章（办理地址：无锡市观山路市民中心12号楼2楼公共资源交易大厅9号10号窗口）。</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（3）“苏采云”系统供应商操作手册链接：</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（4）CA驱动下载链接（政务CA方正签章控件驱动）：</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技术服务QQ：3071474382（服务时间：工作日9:00-17:00）</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完成注册的供应商方可绑定CA，并使用CA登录苏采云平台，参与项目，上传投标文件，进行投标。</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如供应商未按上述要求操作，由此所产生的损失及风险由供应商自行承担。</w:t>
      </w:r>
      <w:r/>
    </w:p>
    <w:p>
      <w:pPr>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（四）获取采购文件</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cs="宋体"/>
          <w:bCs/>
          <w:color w:val="000000"/>
          <w:sz w:val="24"/>
          <w:szCs w:val="24"/>
          <w:highlight w:val="none"/>
          <w:lang w:eastAsia="zh-CN"/>
        </w:rPr>
        <w:t xml:space="preserve">投标文件</w:t>
      </w:r>
      <w:r>
        <w:rPr>
          <w:rFonts w:hint="eastAsia" w:ascii="宋体" w:hAnsi="宋体" w:cs="宋体"/>
          <w:bCs/>
          <w:color w:val="000000"/>
          <w:sz w:val="24"/>
          <w:szCs w:val="24"/>
          <w:highlight w:val="none"/>
        </w:rPr>
        <w:t xml:space="preserve">（使用“CA数字证书”），导出加密的</w:t>
      </w:r>
      <w:r>
        <w:rPr>
          <w:rFonts w:hint="eastAsia" w:ascii="宋体" w:hAnsi="宋体" w:cs="宋体"/>
          <w:bCs/>
          <w:color w:val="000000"/>
          <w:sz w:val="24"/>
          <w:szCs w:val="24"/>
          <w:highlight w:val="none"/>
          <w:lang w:eastAsia="zh-CN"/>
        </w:rPr>
        <w:t xml:space="preserve">投标文件</w:t>
      </w:r>
      <w:r>
        <w:rPr>
          <w:rFonts w:hint="eastAsia" w:ascii="宋体" w:hAnsi="宋体" w:cs="宋体"/>
          <w:bCs/>
          <w:color w:val="000000"/>
          <w:sz w:val="24"/>
          <w:szCs w:val="24"/>
          <w:highlight w:val="none"/>
        </w:rPr>
        <w:t xml:space="preserve">（后缀名为zip，不得超过150M）并在苏采云平台上传该加密的</w:t>
      </w:r>
      <w:r>
        <w:rPr>
          <w:rFonts w:hint="eastAsia" w:ascii="宋体" w:hAnsi="宋体" w:cs="宋体"/>
          <w:bCs/>
          <w:color w:val="000000"/>
          <w:sz w:val="24"/>
          <w:szCs w:val="24"/>
          <w:highlight w:val="none"/>
          <w:lang w:eastAsia="zh-CN"/>
        </w:rPr>
        <w:t xml:space="preserve">投标文件</w:t>
      </w:r>
      <w:r>
        <w:rPr>
          <w:rFonts w:hint="eastAsia" w:ascii="宋体" w:hAnsi="宋体" w:cs="宋体"/>
          <w:bCs/>
          <w:color w:val="000000"/>
          <w:sz w:val="24"/>
          <w:szCs w:val="24"/>
          <w:highlight w:val="none"/>
        </w:rPr>
        <w:t xml:space="preserve">，对采购文件各项内容做出实质性响应，否则其</w:t>
      </w:r>
      <w:r>
        <w:rPr>
          <w:rFonts w:hint="eastAsia" w:ascii="宋体" w:hAnsi="宋体" w:cs="宋体"/>
          <w:bCs/>
          <w:color w:val="000000"/>
          <w:sz w:val="24"/>
          <w:szCs w:val="24"/>
          <w:highlight w:val="none"/>
          <w:lang w:eastAsia="zh-CN"/>
        </w:rPr>
        <w:t xml:space="preserve">投标文件</w:t>
      </w:r>
      <w:r>
        <w:rPr>
          <w:rFonts w:hint="eastAsia" w:ascii="宋体" w:hAnsi="宋体" w:cs="宋体"/>
          <w:bCs/>
          <w:color w:val="000000"/>
          <w:sz w:val="24"/>
          <w:szCs w:val="24"/>
          <w:highlight w:val="none"/>
        </w:rPr>
        <w:t xml:space="preserve">无效。</w:t>
      </w:r>
      <w:r/>
    </w:p>
    <w:p>
      <w:pPr>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（五）公开答疑时间、地点</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cs="宋体"/>
          <w:bCs/>
          <w:color w:val="000000"/>
          <w:sz w:val="24"/>
          <w:szCs w:val="24"/>
          <w:highlight w:val="none"/>
        </w:rPr>
        <w:t xml:space="preserve">将以电话咨询、邮箱（</w:t>
      </w:r>
      <w:r>
        <w:rPr>
          <w:rFonts w:hint="eastAsia" w:ascii="宋体" w:hAnsi="宋体" w:cs="宋体"/>
          <w:bCs/>
          <w:color w:val="000000"/>
          <w:sz w:val="24"/>
          <w:szCs w:val="24"/>
          <w:highlight w:val="none"/>
          <w:lang w:val="en-US" w:eastAsia="zh-CN"/>
        </w:rPr>
        <w:t xml:space="preserve">wxcjzbb2017@163</w:t>
      </w:r>
      <w:r>
        <w:rPr>
          <w:rFonts w:hint="eastAsia" w:ascii="宋体" w:hAnsi="宋体" w:cs="宋体"/>
          <w:bCs/>
          <w:color w:val="000000"/>
          <w:sz w:val="24"/>
          <w:szCs w:val="24"/>
          <w:highlight w:val="none"/>
          <w:lang w:eastAsia="zh-CN"/>
        </w:rPr>
        <w:t xml:space="preserve">.com</w:t>
      </w:r>
      <w:r>
        <w:rPr>
          <w:rFonts w:hint="eastAsia" w:ascii="宋体" w:hAnsi="宋体" w:cs="宋体"/>
          <w:bCs/>
          <w:color w:val="000000"/>
          <w:sz w:val="24"/>
          <w:szCs w:val="24"/>
          <w:highlight w:val="none"/>
        </w:rPr>
        <w:t xml:space="preserve">）等方式开展线上不见面答疑服务。截止至</w:t>
      </w:r>
      <w:r>
        <w:rPr>
          <w:rFonts w:hint="eastAsia" w:ascii="宋体" w:hAnsi="宋体" w:cs="宋体"/>
          <w:bCs/>
          <w:color w:val="000000"/>
          <w:sz w:val="24"/>
          <w:szCs w:val="24"/>
          <w:highlight w:val="none"/>
        </w:rPr>
        <w:t xml:space="preserve">20</w:t>
      </w:r>
      <w:r>
        <w:rPr>
          <w:rFonts w:hint="eastAsia" w:ascii="宋体" w:hAnsi="宋体" w:cs="宋体"/>
          <w:bCs/>
          <w:color w:val="000000"/>
          <w:sz w:val="24"/>
          <w:szCs w:val="24"/>
          <w:highlight w:val="none"/>
          <w:lang w:val="en-US" w:eastAsia="zh-CN"/>
        </w:rPr>
        <w:t xml:space="preserve">26</w:t>
      </w:r>
      <w:r>
        <w:rPr>
          <w:rFonts w:hint="eastAsia" w:ascii="宋体" w:hAnsi="宋体" w:cs="宋体"/>
          <w:bCs/>
          <w:color w:val="000000"/>
          <w:sz w:val="24"/>
          <w:szCs w:val="24"/>
          <w:highlight w:val="none"/>
        </w:rPr>
        <w:t xml:space="preserve">年7月29日</w:t>
      </w:r>
      <w:r>
        <w:rPr>
          <w:rFonts w:hint="eastAsia" w:ascii="宋体" w:hAnsi="宋体" w:cs="宋体"/>
          <w:bCs/>
          <w:color w:val="000000"/>
          <w:sz w:val="24"/>
          <w:szCs w:val="24"/>
          <w:highlight w:val="none"/>
        </w:rPr>
        <w:t xml:space="preserve">10:00前，有关单位对于招标文件的相关事项如有疑问可通过上</w:t>
      </w:r>
      <w:r>
        <w:rPr>
          <w:rFonts w:hint="eastAsia" w:ascii="宋体" w:hAnsi="宋体" w:cs="宋体"/>
          <w:bCs/>
          <w:color w:val="000000"/>
          <w:sz w:val="24"/>
          <w:szCs w:val="24"/>
          <w:highlight w:val="none"/>
        </w:rPr>
        <w:t xml:space="preserve">述方式咨询；供应商如有需要对招标文件要求澄清的问题，请以书面形式（必须加盖供应商公章，也请务必留下联系方式，以便回复）提出“</w:t>
      </w:r>
      <w:r>
        <w:rPr>
          <w:rFonts w:hint="eastAsia" w:ascii="宋体" w:hAnsi="宋体" w:cs="宋体"/>
          <w:bCs/>
          <w:color w:val="000000"/>
          <w:sz w:val="24"/>
          <w:szCs w:val="24"/>
          <w:highlight w:val="none"/>
        </w:rPr>
        <w:t xml:space="preserve">JSZC-320292-WXCJ-G2026-0019</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项目需澄清问题”，并于答疑截止时间前邮箱（</w:t>
      </w:r>
      <w:r>
        <w:rPr>
          <w:rFonts w:hint="eastAsia" w:ascii="宋体" w:hAnsi="宋体" w:cs="宋体"/>
          <w:bCs/>
          <w:color w:val="000000"/>
          <w:sz w:val="24"/>
          <w:szCs w:val="24"/>
          <w:highlight w:val="none"/>
          <w:lang w:val="en-US" w:eastAsia="zh-CN"/>
        </w:rPr>
        <w:t xml:space="preserve">wxcjzbb2017@163</w:t>
      </w:r>
      <w:r>
        <w:rPr>
          <w:rFonts w:hint="eastAsia" w:ascii="宋体" w:hAnsi="宋体" w:cs="宋体"/>
          <w:bCs/>
          <w:color w:val="000000"/>
          <w:sz w:val="24"/>
          <w:szCs w:val="24"/>
          <w:highlight w:val="none"/>
          <w:lang w:eastAsia="zh-CN"/>
        </w:rPr>
        <w:t xml:space="preserve">.com</w:t>
      </w:r>
      <w:r>
        <w:rPr>
          <w:rFonts w:hint="eastAsia" w:ascii="宋体" w:hAnsi="宋体" w:cs="宋体"/>
          <w:bCs/>
          <w:color w:val="000000"/>
          <w:sz w:val="24"/>
          <w:szCs w:val="24"/>
          <w:highlight w:val="none"/>
        </w:rPr>
        <w:t xml:space="preserve">）给项目联系人。若未在法定时间内提出澄清，由此造成的损失及风险由供应商自行承担。</w:t>
      </w:r>
      <w:r/>
    </w:p>
    <w:p>
      <w:pPr>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（六）获取采购文件的时间期限</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时间：本招标文件有效获取期自招标文件公告发布之日起5个工作日，（有效获取期内的）每天上午00:00至1</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59</w:t>
      </w:r>
      <w:r>
        <w:rPr>
          <w:rFonts w:hint="eastAsia" w:ascii="宋体" w:hAnsi="宋体" w:cs="宋体"/>
          <w:bCs/>
          <w:color w:val="000000"/>
          <w:sz w:val="24"/>
          <w:szCs w:val="24"/>
          <w:highlight w:val="none"/>
        </w:rPr>
        <w:t xml:space="preserve">，下午12:00至23:59（北京时间，法定节假日除外）。</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地点：“江苏省政府采购（苏采云）平台”。</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方式：请有投标意向的供应商在招标文件有效获取期内及时至“江苏省政府采购（苏采云）平台”获取。在招标文件有效获取期限内，从“江苏省政府采购（苏采云）平台”获取的招标文件，视为依法获取的招标文件。</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售价：本项目招标文件免费。</w:t>
      </w:r>
      <w:r/>
    </w:p>
    <w:p>
      <w:pPr>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（七）投标及开标、定标时间、地点</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投标截止时间（网上投标截止时间苏采云投标客户端投标）：</w:t>
      </w:r>
      <w:r>
        <w:rPr>
          <w:rFonts w:hint="eastAsia" w:ascii="宋体" w:hAnsi="宋体" w:cs="宋体"/>
          <w:bCs/>
          <w:color w:val="000000"/>
          <w:sz w:val="24"/>
          <w:szCs w:val="24"/>
          <w:highlight w:val="none"/>
        </w:rPr>
        <w:t xml:space="preserve">20</w:t>
      </w:r>
      <w:r>
        <w:rPr>
          <w:rFonts w:hint="eastAsia" w:ascii="宋体" w:hAnsi="宋体" w:cs="宋体"/>
          <w:bCs/>
          <w:color w:val="000000"/>
          <w:sz w:val="24"/>
          <w:szCs w:val="24"/>
          <w:highlight w:val="none"/>
          <w:lang w:val="en-US" w:eastAsia="zh-CN"/>
        </w:rPr>
        <w:t xml:space="preserve">26</w:t>
      </w:r>
      <w:r>
        <w:rPr>
          <w:rFonts w:hint="eastAsia" w:ascii="宋体" w:hAnsi="宋体" w:cs="宋体"/>
          <w:bCs/>
          <w:color w:val="000000"/>
          <w:sz w:val="24"/>
          <w:szCs w:val="24"/>
          <w:highlight w:val="none"/>
        </w:rPr>
        <w:t xml:space="preserve">年8月14日</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0</w:t>
      </w:r>
      <w:r>
        <w:rPr>
          <w:rFonts w:hint="eastAsia" w:ascii="宋体" w:hAnsi="宋体" w:cs="宋体"/>
          <w:bCs/>
          <w:color w:val="000000"/>
          <w:sz w:val="24"/>
          <w:szCs w:val="24"/>
          <w:highlight w:val="none"/>
        </w:rPr>
        <w:t xml:space="preserve">，投标截止时间后的投标文件恕不接受。</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开标时间：</w:t>
      </w:r>
      <w:r>
        <w:rPr>
          <w:rFonts w:hint="eastAsia" w:ascii="宋体" w:hAnsi="宋体" w:cs="宋体"/>
          <w:bCs/>
          <w:color w:val="000000"/>
          <w:sz w:val="24"/>
          <w:szCs w:val="24"/>
          <w:highlight w:val="green"/>
        </w:rPr>
      </w:r>
      <w:r>
        <w:rPr>
          <w:rFonts w:hint="eastAsia" w:ascii="宋体" w:hAnsi="宋体" w:cs="宋体"/>
          <w:bCs/>
          <w:color w:val="000000"/>
          <w:sz w:val="24"/>
          <w:szCs w:val="24"/>
          <w:highlight w:val="none"/>
        </w:rPr>
      </w:r>
      <w:r>
        <w:rPr>
          <w:rFonts w:hint="eastAsia" w:ascii="宋体" w:hAnsi="宋体" w:cs="宋体"/>
          <w:bCs/>
          <w:color w:val="000000"/>
          <w:sz w:val="24"/>
          <w:szCs w:val="24"/>
          <w:highlight w:val="none"/>
        </w:rPr>
        <w:t xml:space="preserve">20</w:t>
      </w:r>
      <w:r>
        <w:rPr>
          <w:rFonts w:hint="eastAsia" w:ascii="宋体" w:hAnsi="宋体" w:cs="宋体"/>
          <w:bCs/>
          <w:color w:val="000000"/>
          <w:sz w:val="24"/>
          <w:szCs w:val="24"/>
          <w:highlight w:val="none"/>
          <w:lang w:val="en-US" w:eastAsia="zh-CN"/>
        </w:rPr>
        <w:t xml:space="preserve">26</w:t>
      </w:r>
      <w:r>
        <w:rPr>
          <w:rFonts w:hint="eastAsia" w:ascii="宋体" w:hAnsi="宋体" w:cs="宋体"/>
          <w:bCs/>
          <w:color w:val="000000"/>
          <w:sz w:val="24"/>
          <w:szCs w:val="24"/>
          <w:highlight w:val="none"/>
        </w:rPr>
        <w:t xml:space="preserve">年8月14日</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0</w:t>
      </w:r>
      <w:r/>
      <w:r>
        <w:rPr>
          <w:rFonts w:hint="eastAsia" w:ascii="宋体" w:hAnsi="宋体" w:cs="宋体"/>
          <w:bCs/>
          <w:color w:val="000000"/>
          <w:sz w:val="24"/>
          <w:szCs w:val="24"/>
          <w:highlight w:val="green"/>
        </w:rPr>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投标及开标地点：江苏省政府采购（苏采云）平台。</w:t>
      </w:r>
      <w:r/>
    </w:p>
    <w:p>
      <w:pPr>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（八）投标文件份数：</w:t>
      </w:r>
      <w:r>
        <w:rPr>
          <w:rFonts w:hint="eastAsia" w:ascii="宋体" w:hAnsi="宋体" w:eastAsia="宋体" w:cs="宋体"/>
          <w:b w:val="0"/>
          <w:bCs/>
          <w:color w:val="000000"/>
          <w:sz w:val="24"/>
          <w:szCs w:val="24"/>
          <w:highlight w:val="none"/>
          <w:lang w:val="en-US" w:eastAsia="zh-CN"/>
        </w:rPr>
        <w:t xml:space="preserve">请按规定上传电子</w:t>
      </w:r>
      <w:r>
        <w:rPr>
          <w:rFonts w:hint="eastAsia" w:ascii="宋体" w:hAnsi="宋体" w:cs="宋体"/>
          <w:b w:val="0"/>
          <w:bCs/>
          <w:color w:val="000000"/>
          <w:sz w:val="24"/>
          <w:szCs w:val="24"/>
          <w:highlight w:val="none"/>
          <w:lang w:val="en-US" w:eastAsia="zh-CN"/>
        </w:rPr>
        <w:t xml:space="preserve">投标文件</w:t>
      </w:r>
      <w:r>
        <w:rPr>
          <w:rFonts w:hint="eastAsia" w:ascii="宋体" w:hAnsi="宋体" w:eastAsia="宋体" w:cs="宋体"/>
          <w:b w:val="0"/>
          <w:bCs/>
          <w:color w:val="000000"/>
          <w:sz w:val="24"/>
          <w:szCs w:val="24"/>
          <w:highlight w:val="none"/>
          <w:lang w:val="en-US" w:eastAsia="zh-CN"/>
        </w:rPr>
        <w:t xml:space="preserve">，不接收纸质投标文件，</w:t>
      </w:r>
      <w:r>
        <w:rPr>
          <w:rFonts w:hint="eastAsia" w:ascii="宋体" w:hAnsi="宋体" w:eastAsia="宋体" w:cs="宋体"/>
          <w:b/>
          <w:sz w:val="24"/>
          <w:szCs w:val="24"/>
          <w:highlight w:val="none"/>
        </w:rPr>
        <w:t xml:space="preserve">中标后中标供应商向</w:t>
      </w:r>
      <w:r>
        <w:rPr>
          <w:rFonts w:hint="eastAsia" w:ascii="宋体" w:hAnsi="宋体" w:eastAsia="宋体" w:cs="宋体"/>
          <w:b/>
          <w:sz w:val="24"/>
          <w:szCs w:val="24"/>
          <w:highlight w:val="none"/>
          <w:lang w:val="en-US" w:eastAsia="zh-CN"/>
        </w:rPr>
        <w:t xml:space="preserve">代理机构</w:t>
      </w:r>
      <w:r>
        <w:rPr>
          <w:rFonts w:hint="eastAsia" w:ascii="宋体" w:hAnsi="宋体" w:eastAsia="宋体" w:cs="宋体"/>
          <w:b/>
          <w:sz w:val="24"/>
          <w:szCs w:val="24"/>
          <w:highlight w:val="none"/>
        </w:rPr>
        <w:t xml:space="preserve">提供与电子投标文件完全一致的纸质投标文件（2份：一正、一副）。</w:t>
      </w:r>
      <w:r/>
    </w:p>
    <w:p>
      <w:pPr>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（九）投标有效期：</w:t>
      </w:r>
      <w:r>
        <w:rPr>
          <w:rFonts w:hint="eastAsia" w:ascii="宋体" w:hAnsi="宋体" w:cs="宋体"/>
          <w:b w:val="0"/>
          <w:bCs/>
          <w:color w:val="000000"/>
          <w:sz w:val="24"/>
          <w:szCs w:val="24"/>
          <w:highlight w:val="none"/>
          <w:lang w:val="en-US" w:eastAsia="zh-CN"/>
        </w:rPr>
        <w:t xml:space="preserve">投标截止之日</w:t>
      </w:r>
      <w:r>
        <w:rPr>
          <w:rFonts w:hint="eastAsia" w:ascii="宋体" w:hAnsi="宋体" w:eastAsia="宋体" w:cs="宋体"/>
          <w:b w:val="0"/>
          <w:bCs/>
          <w:color w:val="000000"/>
          <w:sz w:val="24"/>
          <w:szCs w:val="24"/>
          <w:highlight w:val="none"/>
          <w:lang w:val="en-US" w:eastAsia="zh-CN"/>
        </w:rPr>
        <w:t xml:space="preserve">起90天</w:t>
      </w:r>
      <w:r/>
    </w:p>
    <w:p>
      <w:pPr>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（十）采购方法</w:t>
      </w:r>
      <w:r/>
    </w:p>
    <w:p>
      <w:pPr>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本次采购采用“江苏省政府采购（苏采云）平台”进行招标投标活动，招标、投标、评标和中标结果发布全程电子化。</w:t>
      </w:r>
      <w:r/>
    </w:p>
    <w:p>
      <w:pPr>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（十一）其它</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无锡市滨湖区太湖街道办事处</w:t>
      </w:r>
      <w:r/>
    </w:p>
    <w:p>
      <w:pPr>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陆勇</w:t>
      </w:r>
      <w:r/>
    </w:p>
    <w:p>
      <w:pPr>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采购</w:t>
      </w:r>
      <w:r>
        <w:rPr>
          <w:rFonts w:hint="eastAsia" w:ascii="宋体" w:hAnsi="宋体" w:cs="宋体"/>
          <w:bCs/>
          <w:color w:val="000000"/>
          <w:sz w:val="24"/>
          <w:szCs w:val="24"/>
          <w:highlight w:val="none"/>
          <w:lang w:val="en-US" w:eastAsia="zh-CN"/>
        </w:rPr>
        <w:t xml:space="preserve">代理</w:t>
      </w:r>
      <w:r>
        <w:rPr>
          <w:rFonts w:hint="eastAsia" w:ascii="宋体" w:hAnsi="宋体" w:cs="宋体"/>
          <w:bCs/>
          <w:color w:val="000000"/>
          <w:sz w:val="24"/>
          <w:szCs w:val="24"/>
          <w:highlight w:val="none"/>
        </w:rPr>
        <w:t xml:space="preserve">机构：</w:t>
      </w:r>
      <w:r>
        <w:rPr>
          <w:rFonts w:hint="eastAsia" w:ascii="宋体" w:hAnsi="宋体" w:cs="宋体"/>
          <w:bCs/>
          <w:color w:val="000000"/>
          <w:sz w:val="24"/>
          <w:szCs w:val="24"/>
          <w:highlight w:val="none"/>
          <w:lang w:eastAsia="zh-CN"/>
        </w:rPr>
        <w:t xml:space="preserve">江苏成建项目管理有限公司</w:t>
      </w:r>
      <w:r/>
    </w:p>
    <w:p>
      <w:pPr>
        <w:ind w:firstLine="480"/>
        <w:spacing w:line="360" w:lineRule="auto"/>
        <w:rPr>
          <w:rFonts w:hint="default"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地址：</w:t>
      </w:r>
      <w:r>
        <w:rPr>
          <w:rFonts w:hint="eastAsia" w:ascii="宋体" w:hAnsi="宋体" w:cs="宋体"/>
          <w:bCs/>
          <w:color w:val="000000"/>
          <w:sz w:val="24"/>
          <w:szCs w:val="24"/>
          <w:highlight w:val="none"/>
          <w:lang w:val="en-US" w:eastAsia="zh-CN"/>
        </w:rPr>
        <w:t xml:space="preserve">无锡市梁溪区人民东路311号崇文大厦19楼</w:t>
      </w:r>
      <w:r/>
    </w:p>
    <w:p>
      <w:pPr>
        <w:ind w:firstLine="480"/>
        <w:spacing w:line="360" w:lineRule="auto"/>
        <w:rPr>
          <w:rFonts w:hint="default"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丁霞、田晓艳</w:t>
      </w:r>
      <w:r/>
    </w:p>
    <w:p>
      <w:pPr>
        <w:ind w:firstLine="480"/>
        <w:spacing w:line="360" w:lineRule="auto"/>
        <w:rPr>
          <w:rFonts w:hint="default"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电</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话：0510-</w:t>
      </w:r>
      <w:r>
        <w:rPr>
          <w:rFonts w:hint="eastAsia" w:ascii="宋体" w:hAnsi="宋体" w:cs="宋体"/>
          <w:bCs/>
          <w:color w:val="000000"/>
          <w:sz w:val="24"/>
          <w:szCs w:val="24"/>
          <w:highlight w:val="none"/>
          <w:lang w:val="en-US" w:eastAsia="zh-CN"/>
        </w:rPr>
        <w:t xml:space="preserve">82713945；15261687818</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邮</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编：214000</w:t>
      </w:r>
      <w:r/>
    </w:p>
    <w:p>
      <w:pPr>
        <w:ind w:firstLine="480"/>
        <w:spacing w:line="360" w:lineRule="auto"/>
        <w:rPr>
          <w:rFonts w:hint="eastAsia" w:ascii="宋体" w:hAnsi="宋体" w:eastAsia="宋体" w:cs="宋体"/>
          <w:bCs/>
          <w:color w:val="000000"/>
          <w:sz w:val="24"/>
          <w:szCs w:val="24"/>
          <w:highlight w:val="none"/>
          <w:lang w:val="en-US" w:eastAsia="zh-CN"/>
        </w:rPr>
        <w:sectPr>
          <w:footerReference w:type="default" r:id="rId21"/>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jc w:val="center"/>
        <w:spacing w:line="360" w:lineRule="auto"/>
        <w:rPr>
          <w:rFonts w:hint="eastAsia" w:ascii="Times New Roman" w:hAnsi="宋体" w:eastAsia="宋体" w:cs="宋体"/>
          <w:b/>
          <w:bCs/>
          <w:sz w:val="32"/>
          <w:szCs w:val="32"/>
          <w:highlight w:val="none"/>
        </w:rPr>
        <w:outlineLvl w:val="0"/>
      </w:pPr>
      <w:r>
        <w:rPr>
          <w:rFonts w:hint="eastAsia" w:ascii="Times New Roman" w:hAnsi="宋体" w:eastAsia="宋体" w:cs="宋体"/>
          <w:b/>
          <w:bCs/>
          <w:sz w:val="32"/>
          <w:szCs w:val="32"/>
          <w:highlight w:val="none"/>
          <w:lang w:val="en-US" w:eastAsia="zh-CN"/>
        </w:rPr>
        <w:t xml:space="preserve">二、投标人须知</w:t>
      </w:r>
      <w:bookmarkEnd w:id="18"/>
      <w:r/>
      <w:bookmarkEnd w:id="19"/>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p>
    <w:p>
      <w:pPr>
        <w:pStyle w:val="187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对无效质疑不予受理。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（1）关于资格的声明函扫描件</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cs="宋体"/>
          <w:sz w:val="24"/>
          <w:highlight w:val="none"/>
        </w:rPr>
        <w:t xml:space="preserve">（公开招标时须提交可查询二维码的</w:t>
      </w:r>
      <w:r>
        <w:rPr>
          <w:rFonts w:hint="eastAsia" w:ascii="宋体" w:hAnsi="宋体" w:cs="宋体"/>
          <w:sz w:val="24"/>
          <w:highlight w:val="none"/>
          <w:lang w:val="en-US" w:eastAsia="zh-CN"/>
        </w:rPr>
        <w:t xml:space="preserve">扫描</w:t>
      </w:r>
      <w:r>
        <w:rPr>
          <w:rFonts w:hint="eastAsia" w:ascii="宋体" w:hAnsi="宋体" w:cs="宋体"/>
          <w:sz w:val="24"/>
          <w:highlight w:val="none"/>
        </w:rPr>
        <w:t xml:space="preserve">件并</w:t>
      </w:r>
      <w:r>
        <w:rPr>
          <w:rFonts w:hint="eastAsia" w:ascii="宋体" w:hAnsi="宋体" w:cs="宋体"/>
          <w:sz w:val="24"/>
          <w:highlight w:val="none"/>
          <w:lang w:val="en-US" w:eastAsia="zh-CN"/>
        </w:rPr>
        <w:t xml:space="preserve">电子签章</w:t>
      </w:r>
      <w:r>
        <w:rPr>
          <w:rFonts w:hint="eastAsia" w:ascii="宋体" w:hAnsi="宋体" w:cs="宋体"/>
          <w:sz w:val="24"/>
          <w:highlight w:val="none"/>
        </w:rPr>
        <w:t xml:space="preserve">，要求清晰、可扫描认证核查。</w:t>
      </w:r>
      <w:r>
        <w:rPr>
          <w:rFonts w:hint="eastAsia" w:ascii="宋体" w:hAnsi="宋体" w:cs="宋体"/>
          <w:bCs/>
          <w:sz w:val="24"/>
          <w:highlight w:val="none"/>
        </w:rPr>
        <w:t xml:space="preserve">投标供应商如是以分支机构身份参加投标的</w:t>
      </w:r>
      <w:r>
        <w:rPr>
          <w:rFonts w:hint="eastAsia" w:ascii="宋体" w:hAnsi="宋体" w:cs="宋体"/>
          <w:sz w:val="24"/>
          <w:highlight w:val="none"/>
        </w:rPr>
        <w:t xml:space="preserve">，提供投标供应商分支机构的营业执照</w:t>
      </w:r>
      <w:r>
        <w:rPr>
          <w:rFonts w:hint="eastAsia" w:ascii="宋体" w:hAnsi="宋体" w:cs="宋体"/>
          <w:sz w:val="24"/>
          <w:highlight w:val="none"/>
          <w:lang w:val="en-US" w:eastAsia="zh-CN"/>
        </w:rPr>
        <w:t xml:space="preserve">扫描</w:t>
      </w:r>
      <w:r>
        <w:rPr>
          <w:rFonts w:hint="eastAsia" w:ascii="宋体" w:hAnsi="宋体" w:cs="宋体"/>
          <w:sz w:val="24"/>
          <w:highlight w:val="none"/>
        </w:rPr>
        <w:t xml:space="preserve">件</w:t>
      </w:r>
      <w:r>
        <w:rPr>
          <w:rFonts w:hint="eastAsia" w:ascii="宋体" w:hAnsi="宋体" w:cs="宋体"/>
          <w:sz w:val="24"/>
          <w:highlight w:val="none"/>
          <w:lang w:val="en-US" w:eastAsia="zh-CN"/>
        </w:rPr>
        <w:t xml:space="preserve">并电子签章</w:t>
      </w:r>
      <w:r>
        <w:rPr>
          <w:rFonts w:hint="eastAsia" w:ascii="宋体" w:hAnsi="宋体" w:cs="宋体"/>
          <w:sz w:val="24"/>
          <w:highlight w:val="none"/>
        </w:rPr>
        <w:t xml:space="preserve">）</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扫描件</w:t>
      </w:r>
      <w:r>
        <w:rPr>
          <w:rFonts w:hint="eastAsia" w:ascii="宋体" w:hAnsi="宋体" w:cs="宋体"/>
          <w:sz w:val="24"/>
          <w:highlight w:val="none"/>
        </w:rPr>
        <w:t xml:space="preserve">（投标人</w:t>
      </w:r>
      <w:r>
        <w:rPr>
          <w:rFonts w:hint="eastAsia" w:ascii="宋体" w:hAnsi="宋体" w:cs="宋体"/>
          <w:bCs/>
          <w:sz w:val="24"/>
          <w:highlight w:val="none"/>
        </w:rPr>
        <w:t xml:space="preserve">如是</w:t>
      </w:r>
      <w:r>
        <w:rPr>
          <w:rFonts w:hint="eastAsia" w:ascii="宋体" w:hAnsi="宋体" w:cs="宋体"/>
          <w:sz w:val="24"/>
          <w:highlight w:val="none"/>
        </w:rPr>
        <w:t xml:space="preserve">以分支机构身份参加投标的，请自行将“法定代表人”更改为“负责人”，分支机构公开招标时</w:t>
      </w:r>
      <w:r>
        <w:rPr>
          <w:rFonts w:hint="eastAsia" w:ascii="宋体" w:hAnsi="宋体" w:cs="宋体"/>
          <w:sz w:val="24"/>
          <w:highlight w:val="none"/>
          <w:lang w:eastAsia="zh-CN"/>
        </w:rPr>
        <w:t xml:space="preserve">涉及</w:t>
      </w:r>
      <w:r>
        <w:rPr>
          <w:rFonts w:hint="eastAsia" w:ascii="宋体" w:hAnsi="宋体" w:cs="宋体"/>
          <w:sz w:val="24"/>
          <w:highlight w:val="none"/>
        </w:rPr>
        <w:t xml:space="preserve">采购文件“法定代表人”要求的部分，其具体要求视同本条规定）</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（6）被授权</w:t>
      </w:r>
      <w:r>
        <w:rPr>
          <w:rFonts w:hint="eastAsia" w:ascii="宋体" w:hAnsi="宋体" w:cs="宋体"/>
          <w:bCs/>
          <w:color w:val="000000"/>
          <w:sz w:val="24"/>
          <w:szCs w:val="24"/>
          <w:highlight w:val="none"/>
          <w:lang w:val="en-US" w:eastAsia="zh-CN"/>
        </w:rPr>
        <w:t xml:space="preserve">代表</w:t>
      </w:r>
      <w:r>
        <w:rPr>
          <w:rFonts w:hint="eastAsia" w:ascii="宋体" w:hAnsi="宋体" w:eastAsia="宋体" w:cs="宋体"/>
          <w:bCs/>
          <w:color w:val="000000"/>
          <w:sz w:val="24"/>
          <w:szCs w:val="24"/>
          <w:highlight w:val="none"/>
        </w:rPr>
        <w:t xml:space="preserve">与本企业签订的劳动合同和由社保机构出具的近一年内任意一个月(不含投标当月)的社保缴费证明；（由相关主管部门出具，新成立公司除外、法定代表人亲自参加投标的除外）</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投标人近</w:t>
      </w:r>
      <w:r>
        <w:rPr>
          <w:rFonts w:hint="eastAsia" w:ascii="宋体" w:hAnsi="宋体" w:cs="宋体"/>
          <w:bCs/>
          <w:color w:val="000000"/>
          <w:sz w:val="24"/>
          <w:szCs w:val="24"/>
          <w:highlight w:val="none"/>
          <w:lang w:val="en-US" w:eastAsia="zh-CN"/>
        </w:rPr>
        <w:t xml:space="preserve">一年</w:t>
      </w:r>
      <w:r>
        <w:rPr>
          <w:rFonts w:hint="eastAsia" w:ascii="宋体" w:hAnsi="宋体" w:eastAsia="宋体" w:cs="宋体"/>
          <w:bCs/>
          <w:color w:val="000000"/>
          <w:sz w:val="24"/>
          <w:szCs w:val="24"/>
          <w:highlight w:val="none"/>
        </w:rPr>
        <w:t xml:space="preserve">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w:t>
      </w:r>
      <w:r>
        <w:rPr>
          <w:rFonts w:hint="eastAsia" w:ascii="宋体" w:hAnsi="宋体" w:cs="宋体"/>
          <w:bCs/>
          <w:color w:val="000000"/>
          <w:sz w:val="24"/>
          <w:szCs w:val="24"/>
          <w:highlight w:val="none"/>
          <w:lang w:val="en-US" w:eastAsia="zh-CN"/>
        </w:rPr>
        <w:t xml:space="preserve">2024</w:t>
      </w:r>
      <w:r>
        <w:rPr>
          <w:rFonts w:hint="eastAsia" w:ascii="宋体" w:hAnsi="宋体" w:eastAsia="宋体" w:cs="宋体"/>
          <w:bCs/>
          <w:color w:val="000000"/>
          <w:sz w:val="24"/>
          <w:szCs w:val="24"/>
          <w:highlight w:val="none"/>
        </w:rPr>
        <w:t xml:space="preserve">年度</w:t>
      </w:r>
      <w:r>
        <w:rPr>
          <w:rFonts w:hint="eastAsia" w:ascii="宋体" w:hAnsi="宋体" w:cs="宋体"/>
          <w:bCs/>
          <w:color w:val="000000"/>
          <w:sz w:val="24"/>
          <w:szCs w:val="24"/>
          <w:highlight w:val="none"/>
          <w:lang w:val="en-US" w:eastAsia="zh-CN"/>
        </w:rPr>
        <w:t xml:space="preserve">或2025年度中任意一年度</w:t>
      </w:r>
      <w:r>
        <w:rPr>
          <w:rFonts w:hint="eastAsia" w:ascii="宋体" w:hAnsi="宋体" w:eastAsia="宋体" w:cs="宋体"/>
          <w:bCs/>
          <w:color w:val="000000"/>
          <w:sz w:val="24"/>
          <w:szCs w:val="24"/>
          <w:highlight w:val="none"/>
        </w:rPr>
        <w:t xml:space="preserve">的审计报告和所附已审财务报告扫描件；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）投标人近</w:t>
      </w:r>
      <w:r>
        <w:rPr>
          <w:rFonts w:hint="eastAsia" w:ascii="宋体" w:hAnsi="宋体" w:cs="宋体"/>
          <w:bCs/>
          <w:color w:val="000000"/>
          <w:sz w:val="24"/>
          <w:szCs w:val="24"/>
          <w:highlight w:val="none"/>
          <w:lang w:val="en-US" w:eastAsia="zh-CN"/>
        </w:rPr>
        <w:t xml:space="preserve">一年</w:t>
      </w:r>
      <w:r>
        <w:rPr>
          <w:rFonts w:hint="eastAsia" w:ascii="宋体" w:hAnsi="宋体" w:eastAsia="宋体" w:cs="宋体"/>
          <w:bCs/>
          <w:color w:val="000000"/>
          <w:sz w:val="24"/>
          <w:szCs w:val="24"/>
          <w:highlight w:val="none"/>
        </w:rPr>
        <w:t xml:space="preserve">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不含个人所得税</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的相关材料（提供相关主管部门证明或银行代扣证明）扫描件；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）投标人近</w:t>
      </w:r>
      <w:r>
        <w:rPr>
          <w:rFonts w:hint="eastAsia" w:ascii="宋体" w:hAnsi="宋体" w:cs="宋体"/>
          <w:bCs/>
          <w:color w:val="000000"/>
          <w:sz w:val="24"/>
          <w:szCs w:val="24"/>
          <w:highlight w:val="none"/>
          <w:lang w:val="en-US" w:eastAsia="zh-CN"/>
        </w:rPr>
        <w:t xml:space="preserve">一年</w:t>
      </w:r>
      <w:r>
        <w:rPr>
          <w:rFonts w:hint="eastAsia" w:ascii="宋体" w:hAnsi="宋体" w:eastAsia="宋体" w:cs="宋体"/>
          <w:bCs/>
          <w:color w:val="000000"/>
          <w:sz w:val="24"/>
          <w:szCs w:val="24"/>
          <w:highlight w:val="none"/>
        </w:rPr>
        <w:t xml:space="preserve">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bookmarkEnd w:id="20"/>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）投标人</w:t>
      </w:r>
      <w:r>
        <w:rPr>
          <w:rFonts w:hint="eastAsia" w:ascii="宋体" w:hAnsi="宋体" w:cs="宋体"/>
          <w:bCs/>
          <w:color w:val="000000"/>
          <w:sz w:val="24"/>
          <w:szCs w:val="24"/>
          <w:highlight w:val="none"/>
          <w:lang w:val="en-US" w:eastAsia="zh-CN"/>
        </w:rPr>
        <w:t xml:space="preserve">提供</w:t>
      </w:r>
      <w:r>
        <w:rPr>
          <w:rFonts w:hint="eastAsia" w:ascii="宋体" w:hAnsi="宋体" w:eastAsia="宋体" w:cs="宋体"/>
          <w:bCs/>
          <w:color w:val="000000"/>
          <w:sz w:val="24"/>
          <w:szCs w:val="24"/>
          <w:highlight w:val="none"/>
        </w:rPr>
        <w:t xml:space="preserve">中国保监会核发的《经营保险业务许可证》且符合</w:t>
      </w:r>
      <w:r>
        <w:rPr>
          <w:rFonts w:hint="eastAsia" w:ascii="宋体" w:hAnsi="宋体" w:eastAsia="宋体" w:cs="宋体"/>
          <w:bCs/>
          <w:color w:val="000000"/>
          <w:sz w:val="24"/>
          <w:szCs w:val="24"/>
          <w:highlight w:val="none"/>
          <w:lang w:eastAsia="zh-CN"/>
        </w:rPr>
        <w:t xml:space="preserve">保监会</w:t>
      </w:r>
      <w:r>
        <w:rPr>
          <w:rFonts w:hint="eastAsia" w:ascii="宋体" w:hAnsi="宋体" w:eastAsia="宋体" w:cs="宋体"/>
          <w:bCs/>
          <w:color w:val="000000"/>
          <w:sz w:val="24"/>
          <w:szCs w:val="24"/>
          <w:highlight w:val="none"/>
        </w:rPr>
        <w:t xml:space="preserve">规定的经营财产保险的必备条件（提供许可证证书</w:t>
      </w:r>
      <w:r>
        <w:rPr>
          <w:rFonts w:hint="eastAsia" w:ascii="宋体" w:hAnsi="宋体" w:eastAsia="宋体" w:cs="宋体"/>
          <w:bCs/>
          <w:color w:val="000000"/>
          <w:sz w:val="24"/>
          <w:szCs w:val="24"/>
          <w:highlight w:val="none"/>
          <w:lang w:val="en-US" w:eastAsia="zh-CN"/>
        </w:rPr>
        <w:t xml:space="preserve">扫描件并电子签章</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若为经独立法人授权经营的分支机构，提供分公司保险许可证</w:t>
      </w:r>
      <w:r>
        <w:rPr>
          <w:rFonts w:hint="eastAsia" w:ascii="宋体" w:hAnsi="宋体" w:eastAsia="宋体" w:cs="宋体"/>
          <w:bCs/>
          <w:color w:val="000000"/>
          <w:sz w:val="24"/>
          <w:szCs w:val="24"/>
          <w:highlight w:val="none"/>
          <w:lang w:val="en-US" w:eastAsia="zh-CN"/>
        </w:rPr>
        <w:t xml:space="preserve">扫描件并电子签章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val="0"/>
          <w:bCs w:val="0"/>
          <w:color w:val="000000"/>
          <w:sz w:val="24"/>
          <w:szCs w:val="24"/>
          <w:highlight w:val="none"/>
          <w:lang w:eastAsia="zh-CN"/>
        </w:rPr>
        <w:outlineLvl w:val="9"/>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12</w:t>
      </w:r>
      <w:r>
        <w:rPr>
          <w:rFonts w:hint="eastAsia" w:ascii="宋体" w:hAnsi="宋体" w:cs="宋体"/>
          <w:b w:val="0"/>
          <w:bCs w:val="0"/>
          <w:color w:val="000000"/>
          <w:sz w:val="24"/>
          <w:szCs w:val="24"/>
          <w:highlight w:val="none"/>
          <w:lang w:eastAsia="zh-CN"/>
        </w:rPr>
        <w:t xml:space="preserve">）政府采购投标及履约承诺函（</w:t>
      </w:r>
      <w:r>
        <w:rPr>
          <w:rFonts w:hint="eastAsia" w:ascii="宋体" w:hAnsi="宋体" w:cs="宋体"/>
          <w:b w:val="0"/>
          <w:bCs w:val="0"/>
          <w:color w:val="000000"/>
          <w:sz w:val="24"/>
          <w:szCs w:val="24"/>
          <w:highlight w:val="none"/>
          <w:lang w:val="en-US" w:eastAsia="zh-CN"/>
        </w:rPr>
        <w:t xml:space="preserve">格式见附件</w:t>
      </w:r>
      <w:r>
        <w:rPr>
          <w:rFonts w:hint="eastAsia" w:ascii="宋体" w:hAnsi="宋体" w:cs="宋体"/>
          <w:b w:val="0"/>
          <w:bCs w:val="0"/>
          <w:color w:val="000000"/>
          <w:sz w:val="24"/>
          <w:szCs w:val="24"/>
          <w:highlight w:val="none"/>
          <w:lang w:eastAsia="zh-CN"/>
        </w:rPr>
        <w:t xml:space="preserve">）</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（格式自拟）</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．投标供应商情况表</w:t>
      </w:r>
      <w:r>
        <w:rPr>
          <w:rFonts w:hint="eastAsia" w:ascii="宋体" w:hAnsi="宋体" w:eastAsia="宋体" w:cs="宋体"/>
          <w:b/>
          <w:bCs/>
          <w:color w:val="000000"/>
          <w:sz w:val="24"/>
          <w:szCs w:val="24"/>
          <w:highlight w:val="none"/>
        </w:rPr>
        <w:t xml:space="preserve">（格式见附件）</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主要人员配置表</w:t>
      </w:r>
      <w:r>
        <w:rPr>
          <w:rFonts w:hint="eastAsia" w:ascii="宋体" w:hAnsi="宋体" w:eastAsia="宋体" w:cs="宋体"/>
          <w:b/>
          <w:bCs/>
          <w:color w:val="000000"/>
          <w:sz w:val="24"/>
          <w:szCs w:val="24"/>
          <w:highlight w:val="none"/>
        </w:rPr>
        <w:t xml:space="preserve">（格式见附件）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中小企业声明函（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．技术服务方案</w:t>
      </w:r>
      <w:r>
        <w:rPr>
          <w:rFonts w:hint="eastAsia" w:ascii="宋体" w:hAnsi="宋体" w:cs="宋体"/>
          <w:b/>
          <w:bCs w:val="0"/>
          <w:color w:val="ff0000"/>
          <w:sz w:val="24"/>
          <w:szCs w:val="24"/>
          <w:highlight w:val="none"/>
          <w:lang w:eastAsia="zh-CN"/>
        </w:rPr>
        <w:t xml:space="preserve">（</w:t>
      </w:r>
      <w:r>
        <w:rPr>
          <w:rFonts w:hint="eastAsia" w:ascii="宋体" w:hAnsi="宋体" w:cs="宋体"/>
          <w:b/>
          <w:bCs w:val="0"/>
          <w:color w:val="ff0000"/>
          <w:sz w:val="24"/>
          <w:szCs w:val="24"/>
          <w:highlight w:val="none"/>
          <w:lang w:val="en-US" w:eastAsia="zh-CN"/>
        </w:rPr>
        <w:t xml:space="preserve">暗标</w:t>
      </w:r>
      <w:r>
        <w:rPr>
          <w:rFonts w:hint="eastAsia" w:ascii="宋体" w:hAnsi="宋体" w:cs="宋体"/>
          <w:b/>
          <w:bCs w:val="0"/>
          <w:color w:val="ff0000"/>
          <w:sz w:val="24"/>
          <w:szCs w:val="24"/>
          <w:highlight w:val="none"/>
          <w:lang w:eastAsia="zh-CN"/>
        </w:rPr>
        <w:t xml:space="preserve">）</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1.所有文件、往来函件均应使用简体中文（规格、型号辅助符号例外）。</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2.投标文件由投标供应商按给定格式如实填写（编写），须有法人（盖章）、法定代表人或法定代表人授权代表签字或盖章，方为有效，未尽事宜可自行补充。</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3.如无特别说明，投标供应商报价一律以人民币为投标结算货币，结算单位为“元”。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4.投标文件格式部分，应由投标供应商按给定格式提供，不得更改。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5.投标文件按照投标函中的内容制作。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7.投标供应商应对CA数字证书妥善保管，如被他人盗用投标，后果自负。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8.投标供应商按采购文件规定的网上解密时间进行解密，如未按时解密后果自负。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9.投标供应商应当对采购文件提出的要求和条件作出实质性响应，并在电子投标系统逐条应答。</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10.投标供应商应对要求提供的资格证明文件（如资质证书、资格证书）、技术资料（如白皮书、彩页、手册、检测报告等）扫描上传至投标系统。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11.投标供应商进行网上投标请参照《“苏采云”系统供应商操作手册》。</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ff0000"/>
          <w:sz w:val="24"/>
          <w:szCs w:val="24"/>
          <w:highlight w:val="none"/>
        </w:rPr>
        <w:outlineLvl w:val="9"/>
      </w:pPr>
      <w:r>
        <w:rPr>
          <w:rFonts w:hint="eastAsia" w:ascii="宋体" w:hAnsi="宋体" w:eastAsia="宋体" w:cs="宋体"/>
          <w:b/>
          <w:bCs w:val="0"/>
          <w:color w:val="ff0000"/>
          <w:sz w:val="24"/>
          <w:szCs w:val="24"/>
          <w:highlight w:val="none"/>
        </w:rPr>
        <w:t xml:space="preserve">12.技术标暗标中不得出现投标供应商名称、人员姓名；要求版面整洁、字迹清楚、不许涂改，不得出现能显示企业特征或其他提示性的标记或标识，也不得采用任何不符合常规、有别于其他投标供应商的特殊做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ff0000"/>
          <w:sz w:val="24"/>
          <w:szCs w:val="24"/>
          <w:highlight w:val="none"/>
        </w:rPr>
        <w:outlineLvl w:val="9"/>
      </w:pPr>
      <w:r>
        <w:rPr>
          <w:rFonts w:hint="eastAsia" w:ascii="宋体" w:hAnsi="宋体" w:eastAsia="宋体" w:cs="宋体"/>
          <w:b/>
          <w:bCs w:val="0"/>
          <w:color w:val="ff0000"/>
          <w:sz w:val="24"/>
          <w:szCs w:val="24"/>
          <w:highlight w:val="none"/>
        </w:rPr>
        <w:t xml:space="preserve">排版要求：A4版面，黑色、小四号宋体字，不得出现手写。图表中字体用宋体字，字号不作限制。暗标文件中均不得出现供应商名称、徽标、印章、商标、相关人员姓名等。不得有任何加粗、斜体、下划线、边框、底纹、阴影等标记。要求版面整洁、字迹清楚、不许涂改。除页码（页码居中，格式为阿拉伯数字小五号，每个章节内的页码应当连续（每个章节的页码均从1开始编制，不得有空白页）外不得设置其他页眉页脚。</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13.投标费用自理。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left="-2" w:firstLine="42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(八)</w:t>
      </w:r>
      <w:r>
        <w:rPr>
          <w:rFonts w:hint="eastAsia" w:ascii="宋体" w:hAnsi="宋体" w:eastAsia="宋体" w:cs="宋体"/>
          <w:b/>
          <w:sz w:val="24"/>
        </w:rPr>
        <w:t xml:space="preserve">投标报价说明：</w:t>
      </w:r>
      <w:r/>
    </w:p>
    <w:p>
      <w:pPr>
        <w:ind w:firstLine="480"/>
        <w:spacing w:line="360" w:lineRule="auto"/>
        <w:tabs>
          <w:tab w:val="left" w:pos="525" w:leader="none"/>
          <w:tab w:val="left" w:pos="1050" w:leader="none"/>
        </w:tabs>
        <w:rPr>
          <w:rFonts w:hint="eastAsia" w:ascii="宋体" w:hAnsi="宋体" w:eastAsia="宋体" w:cs="宋体"/>
          <w:sz w:val="24"/>
          <w:szCs w:val="28"/>
        </w:rPr>
      </w:pPr>
      <w:r>
        <w:rPr>
          <w:rFonts w:hint="eastAsia" w:ascii="宋体" w:hAnsi="宋体" w:eastAsia="宋体" w:cs="宋体"/>
          <w:sz w:val="24"/>
          <w:szCs w:val="28"/>
        </w:rPr>
        <w:t xml:space="preserve">1.</w:t>
      </w:r>
      <w:r>
        <w:rPr>
          <w:rFonts w:hint="eastAsia" w:ascii="宋体" w:hAnsi="宋体" w:eastAsia="宋体" w:cs="宋体"/>
          <w:bCs/>
          <w:sz w:val="24"/>
        </w:rPr>
        <w:t xml:space="preserve">投标</w:t>
      </w:r>
      <w:r>
        <w:rPr>
          <w:rFonts w:hint="eastAsia" w:ascii="宋体" w:hAnsi="宋体" w:eastAsia="宋体" w:cs="宋体"/>
          <w:sz w:val="24"/>
          <w:szCs w:val="28"/>
        </w:rPr>
        <w:t xml:space="preserve">供应商应当充分考虑服务期内所有可能影响到的因素，一旦投标结束最终成交，总价及对应单价将包定，价格不予调整（国家政策性调整除外）。如发生漏、缺、少项，都将被认为是中标方的报价让利行为，损失自负。</w:t>
      </w:r>
      <w:r/>
    </w:p>
    <w:p>
      <w:pPr>
        <w:pStyle w:val="1897"/>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8"/>
          <w:lang w:eastAsia="zh-CN"/>
        </w:rPr>
        <w:t xml:space="preserve">2.</w:t>
      </w:r>
      <w:r>
        <w:rPr>
          <w:rFonts w:hint="eastAsia" w:ascii="宋体" w:hAnsi="宋体" w:eastAsia="宋体" w:cs="宋体"/>
          <w:b/>
          <w:sz w:val="24"/>
          <w:lang w:eastAsia="zh-CN"/>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根据《关于推动解决政府采购异常低价问题的通知》（财库〔2026〕2号）的规定，采购人应在采购文件中明确评审委员会启动异常低价投标（响应）审查的情形和具体要求，包括：</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（一）政府采购评审中出现下列情形之一的，评审委员会应当启动异常低价投标（响应）审查程序：</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1.投标（响应）报价低于全部通过符合性审查供应商投标（响应）报价平均值50%的，即投标（响应）报价&lt;全部通过符合性审查供应商投标（响应）报价平均值×50%；</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2.投标（响应）报价低于通过符合性审查的次低报价供应商投标（响应）报价50%的，即投标（响应）报价&lt;通过符合性审查的次低报价供应商投标（响应）报价×50%；</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3.投标（响应）报价低于采购项目最高限价45%的，即投标（响应）报价&lt;采购项目最高限价×45%；</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4.评审委员会基于专业判断，认为供应商报价过低，有可能影响产品质量或者不能诚信履约的其他情形。</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firstLine="420"/>
        <w:spacing w:line="360" w:lineRule="auto"/>
        <w:rPr>
          <w:rFonts w:hint="eastAsia" w:ascii="宋体" w:hAnsi="宋体" w:eastAsia="宋体" w:cs="宋体"/>
          <w:b/>
          <w:sz w:val="24"/>
        </w:rPr>
      </w:pPr>
      <w:r>
        <w:rPr>
          <w:rFonts w:hint="eastAsia" w:ascii="宋体" w:hAnsi="宋体" w:eastAsia="宋体" w:cs="宋体"/>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keepLines w:val="0"/>
        <w:keepNext w:val="0"/>
        <w:pageBreakBefore w:val="0"/>
        <w:spacing w:line="360" w:lineRule="auto"/>
        <w:widowControl w:val="off"/>
        <w:rPr>
          <w:rFonts w:hint="default" w:ascii="宋体" w:hAnsi="宋体" w:eastAsia="宋体" w:cs="宋体"/>
          <w:bCs/>
          <w:color w:val="000000"/>
          <w:sz w:val="24"/>
          <w:szCs w:val="24"/>
          <w:highlight w:val="none"/>
          <w:lang w:val="en-US" w:eastAsia="zh-CN"/>
        </w:rPr>
        <w:outlineLvl w:val="1"/>
      </w:pPr>
      <w:r>
        <w:rPr>
          <w:rFonts w:hint="eastAsia" w:ascii="宋体" w:hAnsi="宋体" w:eastAsia="宋体" w:cs="宋体"/>
          <w:b/>
          <w:sz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0"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lang w:val="en-US" w:eastAsia="zh-CN"/>
        </w:rPr>
        <w:t xml:space="preserve">无效投标文件的确认：</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供应商有下列情况之一者，投标文件无效：</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1．电子投标文件未按规定时间上传的；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3．电子投标文件未按采购文件要求签章的；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4．投标人未按采购文件要求解密电子投标文件的；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5．不具备采购文件中规定的资格要求的；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6．报价超过采购文件中规定的预算金额或最高限价的；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7．投标供应商的法定代表人授权代表无法定代表人授权委托书的；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8．投标文件含有采购人不能接受的附加条件的；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9．投标文件中有采购文件未允许提供的选择性内容的；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10．恶意串通其他投标供应商，故意哄抬价格或压价的；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11．提供虚假材料的（包括工商营业执照、财务报表、资格证明文件等）；</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12．不具备采购文件中规定的资格要求或未按采购文件规定的要求提供资格、资信证明文件的；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13．不同投标供应商投标文件中的项目相关人员出现同一人的；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14．不同投标供应商聘请同一人为其投标提供技术或经济咨询服务的；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15．不同投标供应商的单位负责人为同一人或者存在直接控股、管理关系的；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16．不同投标供应商的投标文件异常一致或者投标报价呈规律性差异；</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17．投标文件商务标中同一方案有选择性报价且未声明以哪一个为准的；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18．投标文件报价出现前后不一致，投标供应商拒不确认修正后的报价的；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19．评标委员会认为投标供应商的报价明显低于其他通过符合性审查的投标供应商的报价，有可能影响产品质量或者不能诚信履约的，未能在合理的时间内（自江苏省政府采购（苏采云）平台通知之时起半个小时内）提交书面说明或相关证明材料以证明其报价合理性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20．未通过初步资格性审查、投标文件资格性检查、投标文件符合性检查的；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22．不同投标供应商的投标文件存在明显的相似性或一致性，特征显示由同一单位或者同一个人编制的；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24．不同投标供应商的委托代理人、项目负责人以及其他相关人员有在同一个单位缴纳社会保险的；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25．同一投标文件中单位名称落款与公章不是同一单位的；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26．不同投标供应商委托同一单位或者个人办理投标事宜的；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27．投标文件内容不全或不符合法律法规和采购文件中规定的其他实质性要求的。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28．不同投标人的投标文件由同一台电脑编制或者同一把数字证书加密锁加密或者同一台附属设备打印的；</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29.不同投标人的投标文件上传使用的MAC地址和IP地址一致的，其投标无效；</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30.电子投标文件与采购文件要求格式不一致而无法导入计算机评标系统；</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31.启用投标文件电子文本的项目，投标人因自身原因造成投标文件电子文本无法导入应急开评标系统的。  </w:t>
      </w:r>
      <w:r/>
    </w:p>
    <w:p>
      <w:pPr>
        <w:ind w:firstLine="480"/>
        <w:spacing w:line="360" w:lineRule="auto"/>
        <w:rPr>
          <w:rFonts w:hint="eastAsia" w:ascii="宋体" w:hAnsi="宋体" w:eastAsia="宋体" w:cs="宋体"/>
          <w:bCs/>
          <w:sz w:val="24"/>
        </w:rPr>
        <w:outlineLvl w:val="0"/>
      </w:pPr>
      <w:r>
        <w:rPr>
          <w:rFonts w:hint="eastAsia" w:ascii="宋体" w:hAnsi="宋体" w:eastAsia="宋体" w:cs="宋体"/>
          <w:bCs/>
          <w:sz w:val="24"/>
        </w:rPr>
        <w:t xml:space="preserve">32.技术标（暗标）中出现该投标人单位名称、简称、人员姓名、LOGO、商标、电话号码等任何标识标记及其他暗示性标志的。</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sz w:val="24"/>
        </w:rPr>
        <w:t xml:space="preserve">33.商务标（明标）和技术标（暗标），其中某一标被本项目评委确认为无效投标文件的。</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lang w:val="en-US" w:eastAsia="zh-CN"/>
        </w:rPr>
        <w:t xml:space="preserve">)开标、评标：</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2．投标截止时间后参加投标的供应商或解密投标文件的供应商不足三家的，不进行开评标。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5．评标方法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val="en-US" w:eastAsia="zh-CN"/>
        </w:rPr>
        <w:t xml:space="preserve">)定标：</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将在</w:t>
      </w:r>
      <w:r>
        <w:rPr>
          <w:rFonts w:hint="eastAsia" w:ascii="宋体" w:hAnsi="宋体" w:cs="宋体"/>
          <w:bCs/>
          <w:color w:val="000000"/>
          <w:sz w:val="24"/>
          <w:szCs w:val="24"/>
          <w:highlight w:val="none"/>
          <w:lang w:val="en-US" w:eastAsia="zh-CN"/>
        </w:rPr>
        <w:t xml:space="preserve">江苏政府采购网</w:t>
      </w:r>
      <w:r>
        <w:rPr>
          <w:rFonts w:hint="eastAsia" w:ascii="宋体" w:hAnsi="宋体" w:eastAsia="宋体" w:cs="宋体"/>
          <w:bCs/>
          <w:color w:val="000000"/>
          <w:sz w:val="24"/>
          <w:szCs w:val="24"/>
          <w:highlight w:val="none"/>
        </w:rPr>
        <w:t xml:space="preserve">上发布中标结果公告。</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和评标委员会对未中标原因不作解释。</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lang w:val="en-US" w:eastAsia="zh-CN"/>
        </w:rPr>
        <w:t xml:space="preserve">)废标的确认：</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eastAsia="zh-CN"/>
        </w:rPr>
        <w:t xml:space="preserve">)中标无效的确认：</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32174"/>
      <w:r/>
      <w:bookmarkStart w:id="23" w:name="_Toc21337"/>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lang w:val="en-US" w:eastAsia="zh-CN"/>
        </w:rPr>
        <w:t xml:space="preserve">)签订、履行合同：</w:t>
      </w:r>
      <w:bookmarkEnd w:id="22"/>
      <w:r/>
      <w:bookmarkEnd w:id="23"/>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江苏成建项目管理有限公司</w:t>
      </w:r>
      <w:r>
        <w:rPr>
          <w:rFonts w:hint="eastAsia" w:ascii="宋体" w:hAnsi="宋体" w:eastAsia="宋体" w:cs="宋体"/>
          <w:bCs/>
          <w:color w:val="000000"/>
          <w:sz w:val="24"/>
          <w:szCs w:val="24"/>
          <w:highlight w:val="none"/>
        </w:rPr>
        <w:t xml:space="preserve">监督合同的履行。中标方非因不可抗力未履行招、投标文件和合同规定的义务，一经查实，采购人将根据具体情况提请政府采购管理部门作出相应处理。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lang w:val="en-US" w:eastAsia="zh-CN"/>
        </w:rPr>
        <w:t xml:space="preserve">)注意事项：</w:t>
      </w:r>
      <w:bookmarkEnd w:id="24"/>
      <w:r/>
      <w:bookmarkEnd w:id="25"/>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lang w:val="en-US" w:eastAsia="zh-CN"/>
        </w:rPr>
        <w:t xml:space="preserve">)质疑处理：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w:t>
      </w:r>
      <w:r>
        <w:rPr>
          <w:rFonts w:hint="eastAsia" w:ascii="宋体" w:hAnsi="宋体" w:eastAsia="宋体" w:cs="宋体"/>
          <w:bCs/>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对可以质疑的采购文件提出质疑的，为收到采购文件之日或者采购文件公告期限届满之日；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对采购过程提出质疑的，为各采购程序环节结束之日；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对中标或者成交结果提出质疑的，为中标或者成交结果公告期限届满之日。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采购人、采购代理只接收以纸质原件形式送达的质疑,质疑供应商可通过面交或邮寄方式送达（采购人和采购代理不接受未填写快递运单的快件）。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采购人、采购代理联系人、联系方式、通信地址见招标文件第一章。</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5.以下情形的质疑不予受理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内容不符合《政府采购质疑和投诉办法》第十二条规定的质疑。</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超出政府采购法定期限的质疑。</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以传真、电子邮件等方式递交的非原件形式的质疑。</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未参加投标活动的供应商或在投标活动中自身权益未受到损害的供应商所提出的质疑。</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供应商组成联合体参加投标，联合体中任何一方或多方未按要求签字、盖章、加盖公章的质疑。</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lang w:val="en-US" w:eastAsia="zh-CN"/>
        </w:rPr>
        <w:t xml:space="preserve">)服务（包含与服务相关的货物）的追加：</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lang w:val="en-US" w:eastAsia="zh-CN"/>
        </w:rPr>
        <w:t xml:space="preserve">)代理服务费：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yellow"/>
          <w:lang w:eastAsia="zh-CN"/>
        </w:rPr>
        <w:outlineLvl w:val="9"/>
      </w:pPr>
      <w:r>
        <w:rPr>
          <w:rFonts w:hint="eastAsia" w:ascii="宋体" w:hAnsi="宋体" w:eastAsia="宋体" w:cs="宋体"/>
          <w:color w:val="000000"/>
          <w:sz w:val="24"/>
          <w:szCs w:val="24"/>
          <w:highlight w:val="none"/>
        </w:rPr>
        <w:t xml:space="preserve">本项目代理费由采购人支付。</w:t>
      </w:r>
      <w:r>
        <w:rPr>
          <w:rFonts w:hint="eastAsia" w:ascii="宋体" w:hAnsi="宋体"/>
          <w:bCs/>
          <w:sz w:val="24"/>
          <w:szCs w:val="24"/>
          <w:highlight w:val="none"/>
        </w:rPr>
        <w:t xml:space="preserve">代理服务费</w:t>
      </w:r>
      <w:r>
        <w:rPr>
          <w:rFonts w:hint="eastAsia" w:ascii="宋体" w:hAnsi="宋体"/>
          <w:bCs/>
          <w:sz w:val="24"/>
          <w:szCs w:val="24"/>
        </w:rPr>
        <w:t xml:space="preserve">以中标金额为基数依据，按以下规定的标准和差额定率累进法进行计算收取：中标金额0-100万元部分，费率为该部分中标金额的1.5%；中标金额100-500万元部分，费率为该部分中标金额的0.8%；打</w:t>
      </w:r>
      <w:r>
        <w:rPr>
          <w:rFonts w:hint="eastAsia" w:ascii="宋体" w:hAnsi="宋体"/>
          <w:bCs/>
          <w:sz w:val="24"/>
          <w:szCs w:val="24"/>
          <w:lang w:val="en-US" w:eastAsia="zh-CN"/>
        </w:rPr>
        <w:t xml:space="preserve">六</w:t>
      </w:r>
      <w:r>
        <w:rPr>
          <w:rFonts w:hint="eastAsia" w:ascii="宋体" w:hAnsi="宋体"/>
          <w:bCs/>
          <w:sz w:val="24"/>
          <w:szCs w:val="24"/>
        </w:rPr>
        <w:t xml:space="preserve">折。</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w:t>
      </w:r>
      <w:r>
        <w:rPr>
          <w:rFonts w:hint="eastAsia" w:ascii="宋体" w:hAnsi="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lang w:val="en-US" w:eastAsia="zh-CN"/>
        </w:rPr>
        <w:t xml:space="preserve">)其他：</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82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outlineLvl w:val="9"/>
      </w:pPr>
      <w:r/>
      <w:bookmarkStart w:id="26" w:name="_Toc27586"/>
      <w:r/>
      <w:r/>
    </w:p>
    <w:p>
      <w:pPr>
        <w:jc w:val="center"/>
        <w:spacing w:line="360" w:lineRule="auto"/>
        <w:rPr>
          <w:rFonts w:hint="eastAsia" w:ascii="Times New Roman" w:hAnsi="宋体" w:eastAsia="宋体" w:cs="宋体"/>
          <w:b/>
          <w:bCs/>
          <w:sz w:val="32"/>
          <w:szCs w:val="32"/>
          <w:highlight w:val="none"/>
          <w:lang w:val="en-US" w:eastAsia="zh-CN"/>
        </w:rPr>
        <w:outlineLvl w:val="0"/>
      </w:pPr>
      <w:r/>
      <w:bookmarkStart w:id="27" w:name="_Toc19762"/>
      <w:r>
        <w:rPr>
          <w:rFonts w:hint="eastAsia" w:ascii="Times New Roman" w:hAnsi="宋体" w:eastAsia="宋体" w:cs="宋体"/>
          <w:b/>
          <w:bCs/>
          <w:sz w:val="32"/>
          <w:szCs w:val="32"/>
          <w:highlight w:val="none"/>
          <w:lang w:val="en-US" w:eastAsia="zh-CN"/>
        </w:rPr>
        <w:t xml:space="preserve">三、项目技术要求和有关说明</w:t>
      </w:r>
      <w:bookmarkEnd w:id="21"/>
      <w:r/>
      <w:bookmarkEnd w:id="26"/>
      <w:r/>
      <w:bookmarkEnd w:id="27"/>
      <w:r/>
      <w:r/>
    </w:p>
    <w:p>
      <w:pPr>
        <w:numPr>
          <w:ilvl w:val="0"/>
          <w:numId w:val="2"/>
        </w:numPr>
        <w:jc w:val="left"/>
        <w:spacing w:line="440" w:lineRule="exact"/>
        <w:widowControl/>
        <w:rPr>
          <w:rFonts w:ascii="宋体" w:hAnsi="宋体" w:cs="宋体"/>
          <w:b/>
          <w:bCs/>
          <w:color w:val="000000"/>
          <w:sz w:val="24"/>
          <w:lang w:bidi="ar"/>
        </w:rPr>
      </w:pPr>
      <w:r/>
      <w:bookmarkStart w:id="28" w:name="_Toc26"/>
      <w:r>
        <w:rPr>
          <w:rFonts w:hint="eastAsia" w:ascii="宋体" w:hAnsi="宋体" w:cs="宋体"/>
          <w:b/>
          <w:bCs/>
          <w:color w:val="000000"/>
          <w:sz w:val="24"/>
          <w:lang w:bidi="ar"/>
        </w:rPr>
        <w:t xml:space="preserve">项目背景</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因无锡市</w:t>
      </w:r>
      <w:r>
        <w:rPr>
          <w:rFonts w:hint="eastAsia" w:ascii="宋体" w:hAnsi="宋体" w:cs="宋体"/>
          <w:color w:val="000000"/>
          <w:sz w:val="24"/>
          <w:lang w:val="en-US" w:eastAsia="zh-CN" w:bidi="ar"/>
        </w:rPr>
        <w:t xml:space="preserve">经开</w:t>
      </w:r>
      <w:r>
        <w:rPr>
          <w:rFonts w:hint="eastAsia" w:ascii="宋体" w:hAnsi="宋体" w:cs="宋体"/>
          <w:color w:val="000000"/>
          <w:sz w:val="24"/>
          <w:lang w:bidi="ar"/>
        </w:rPr>
        <w:t xml:space="preserve">区</w:t>
      </w:r>
      <w:r>
        <w:rPr>
          <w:rFonts w:hint="eastAsia" w:ascii="宋体" w:hAnsi="宋体" w:cs="宋体"/>
          <w:color w:val="000000"/>
          <w:sz w:val="24"/>
          <w:lang w:val="en-US" w:eastAsia="zh-CN" w:bidi="ar"/>
        </w:rPr>
        <w:t xml:space="preserve">太湖街道的</w:t>
      </w:r>
      <w:r>
        <w:rPr>
          <w:rFonts w:hint="eastAsia" w:ascii="宋体" w:hAnsi="宋体" w:cs="宋体"/>
          <w:color w:val="000000"/>
          <w:sz w:val="24"/>
          <w:lang w:bidi="ar"/>
        </w:rPr>
        <w:t xml:space="preserve">管理需要，所管辖</w:t>
      </w:r>
      <w:r>
        <w:rPr>
          <w:rFonts w:hint="eastAsia" w:ascii="宋体" w:hAnsi="宋体" w:cs="宋体"/>
          <w:color w:val="000000"/>
          <w:sz w:val="24"/>
          <w:lang w:val="en-US" w:eastAsia="zh-CN" w:bidi="ar"/>
        </w:rPr>
        <w:t xml:space="preserve">周新苑三期二批、周新苑四期、周新苑五期、瑞雪家园、梁南苑、丰裕园二期等安置房小区</w:t>
      </w:r>
      <w:r>
        <w:rPr>
          <w:rFonts w:hint="eastAsia" w:ascii="宋体" w:hAnsi="宋体" w:cs="宋体"/>
          <w:color w:val="000000"/>
          <w:sz w:val="24"/>
          <w:lang w:bidi="ar"/>
        </w:rPr>
        <w:t xml:space="preserve">合计</w:t>
      </w:r>
      <w:r>
        <w:rPr>
          <w:rFonts w:hint="eastAsia" w:ascii="宋体" w:hAnsi="宋体" w:cs="宋体"/>
          <w:color w:val="000000"/>
          <w:sz w:val="24"/>
          <w:lang w:val="en-US" w:eastAsia="zh-CN" w:bidi="ar"/>
        </w:rPr>
        <w:t xml:space="preserve">451</w:t>
      </w:r>
      <w:r>
        <w:rPr>
          <w:rFonts w:hint="eastAsia" w:ascii="宋体" w:hAnsi="宋体" w:cs="宋体"/>
          <w:color w:val="000000"/>
          <w:sz w:val="24"/>
          <w:lang w:bidi="ar"/>
        </w:rPr>
        <w:t xml:space="preserve">台客梯</w:t>
      </w:r>
      <w:r>
        <w:rPr>
          <w:rFonts w:hint="eastAsia" w:ascii="宋体" w:hAnsi="宋体" w:cs="宋体"/>
          <w:color w:val="000000"/>
          <w:sz w:val="24"/>
          <w:lang w:eastAsia="zh-CN" w:bidi="ar"/>
        </w:rPr>
        <w:t xml:space="preserve">，</w:t>
      </w:r>
      <w:r>
        <w:rPr>
          <w:rFonts w:hint="eastAsia" w:ascii="宋体" w:hAnsi="宋体" w:cs="宋体"/>
          <w:color w:val="000000"/>
          <w:sz w:val="24"/>
          <w:lang w:val="en-US" w:eastAsia="zh-CN" w:bidi="ar"/>
        </w:rPr>
        <w:t xml:space="preserve">451台</w:t>
      </w:r>
      <w:r>
        <w:rPr>
          <w:rFonts w:hint="eastAsia" w:ascii="宋体" w:hAnsi="宋体" w:cs="宋体"/>
          <w:color w:val="000000"/>
          <w:sz w:val="24"/>
          <w:lang w:bidi="ar"/>
        </w:rPr>
        <w:t xml:space="preserve">电梯梯龄已十余年，电梯使用及安全管理面临管理难度大、缺乏专业有效的管理手段、机械配件维修更换成本逐年增高等痛点问题。为确保居民日常出行的安全乘梯，无锡市</w:t>
      </w:r>
      <w:r>
        <w:rPr>
          <w:rFonts w:hint="eastAsia" w:ascii="宋体" w:hAnsi="宋体" w:cs="宋体"/>
          <w:color w:val="000000"/>
          <w:sz w:val="24"/>
          <w:lang w:val="en-US" w:eastAsia="zh-CN" w:bidi="ar"/>
        </w:rPr>
        <w:t xml:space="preserve">经开</w:t>
      </w:r>
      <w:r>
        <w:rPr>
          <w:rFonts w:hint="eastAsia" w:ascii="宋体" w:hAnsi="宋体" w:cs="宋体"/>
          <w:color w:val="000000"/>
          <w:sz w:val="24"/>
          <w:lang w:bidi="ar"/>
        </w:rPr>
        <w:t xml:space="preserve">区</w:t>
      </w:r>
      <w:r>
        <w:rPr>
          <w:rFonts w:hint="eastAsia" w:ascii="宋体" w:hAnsi="宋体" w:cs="宋体"/>
          <w:color w:val="000000"/>
          <w:sz w:val="24"/>
          <w:lang w:val="en-US" w:eastAsia="zh-CN" w:bidi="ar"/>
        </w:rPr>
        <w:t xml:space="preserve">太湖街道</w:t>
      </w:r>
      <w:r>
        <w:rPr>
          <w:rFonts w:hint="eastAsia" w:ascii="宋体" w:hAnsi="宋体" w:cs="宋体"/>
          <w:color w:val="000000"/>
          <w:sz w:val="24"/>
          <w:lang w:bidi="ar"/>
        </w:rPr>
        <w:t xml:space="preserve">拟通过推动发展电梯责任保险，优化发展“保险+服务”新模式，发挥保险的事故赔偿和风险预防作用，促进电梯使用管理和维保水平提升。现采用公开招标方式选聘第三方服务机构开展电梯“保险+服务”项目工作。</w:t>
      </w:r>
      <w:r/>
    </w:p>
    <w:p>
      <w:pPr>
        <w:numPr>
          <w:ilvl w:val="0"/>
          <w:numId w:val="2"/>
        </w:numPr>
        <w:jc w:val="left"/>
        <w:spacing w:line="440" w:lineRule="exact"/>
        <w:widowControl/>
        <w:rPr>
          <w:rFonts w:ascii="宋体" w:hAnsi="宋体" w:cs="宋体"/>
          <w:b/>
          <w:bCs/>
          <w:color w:val="000000"/>
          <w:sz w:val="24"/>
          <w:lang w:bidi="ar"/>
        </w:rPr>
      </w:pPr>
      <w:r>
        <w:rPr>
          <w:rFonts w:hint="eastAsia" w:ascii="宋体" w:hAnsi="宋体" w:cs="宋体"/>
          <w:b/>
          <w:bCs/>
          <w:color w:val="000000"/>
          <w:sz w:val="24"/>
          <w:lang w:bidi="ar"/>
        </w:rPr>
        <w:t xml:space="preserve">项目概况</w:t>
      </w:r>
      <w:r/>
    </w:p>
    <w:p>
      <w:pPr>
        <w:ind w:firstLine="480"/>
        <w:jc w:val="left"/>
        <w:spacing w:line="440" w:lineRule="exact"/>
        <w:widowControl/>
        <w:rPr>
          <w:rFonts w:hint="default" w:ascii="宋体" w:hAnsi="宋体" w:cs="宋体"/>
          <w:color w:val="000000"/>
          <w:sz w:val="24"/>
          <w:lang w:val="en-US" w:bidi="ar"/>
        </w:rPr>
      </w:pPr>
      <w:r>
        <w:rPr>
          <w:rFonts w:hint="eastAsia" w:ascii="宋体" w:hAnsi="宋体" w:cs="宋体"/>
          <w:color w:val="000000"/>
          <w:sz w:val="24"/>
          <w:lang w:bidi="ar"/>
        </w:rPr>
        <w:t xml:space="preserve">1.项目地点：</w:t>
      </w:r>
      <w:r>
        <w:rPr>
          <w:rFonts w:hint="eastAsia" w:ascii="宋体" w:hAnsi="宋体" w:cs="宋体"/>
          <w:color w:val="000000"/>
          <w:sz w:val="24"/>
          <w:lang w:val="en-US" w:eastAsia="zh-CN" w:bidi="ar"/>
        </w:rPr>
        <w:t xml:space="preserve">周新苑三期二批、周新苑四期、周新苑五期、瑞雪家园、梁南苑、丰裕园二期等</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2.实施对象： 投保标的为</w:t>
      </w:r>
      <w:r>
        <w:rPr>
          <w:rFonts w:hint="eastAsia" w:ascii="宋体" w:hAnsi="宋体" w:cs="宋体"/>
          <w:color w:val="000000"/>
          <w:sz w:val="24"/>
          <w:lang w:val="en-US" w:eastAsia="zh-CN" w:bidi="ar"/>
        </w:rPr>
        <w:t xml:space="preserve">451</w:t>
      </w:r>
      <w:r>
        <w:rPr>
          <w:rFonts w:hint="eastAsia" w:ascii="宋体" w:hAnsi="宋体" w:cs="宋体"/>
          <w:color w:val="000000"/>
          <w:sz w:val="24"/>
          <w:lang w:bidi="ar"/>
        </w:rPr>
        <w:t xml:space="preserve">台电梯。</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3.服务期：</w:t>
      </w:r>
      <w:r>
        <w:rPr>
          <w:rFonts w:hint="eastAsia" w:ascii="宋体" w:hAnsi="宋体" w:cs="宋体"/>
          <w:color w:val="000000"/>
          <w:sz w:val="24"/>
          <w:lang w:val="en-US" w:eastAsia="zh-CN" w:bidi="ar"/>
        </w:rPr>
        <w:t xml:space="preserve">三</w:t>
      </w:r>
      <w:r>
        <w:rPr>
          <w:rFonts w:hint="eastAsia" w:ascii="宋体" w:hAnsi="宋体" w:cs="宋体"/>
          <w:color w:val="000000"/>
          <w:sz w:val="24"/>
          <w:lang w:val="zh-CN" w:bidi="ar"/>
        </w:rPr>
        <w:t xml:space="preserve">年</w:t>
      </w:r>
      <w:r>
        <w:rPr>
          <w:rFonts w:ascii="宋体" w:hAnsi="宋体" w:cs="宋体"/>
          <w:color w:val="000000"/>
          <w:sz w:val="24"/>
          <w:lang w:bidi="ar"/>
        </w:rPr>
        <w:t xml:space="preserve"> </w:t>
      </w:r>
      <w:r/>
    </w:p>
    <w:p>
      <w:pPr>
        <w:ind w:firstLine="480"/>
        <w:jc w:val="left"/>
        <w:spacing w:line="440" w:lineRule="exact"/>
        <w:widowControl/>
        <w:rPr>
          <w:rFonts w:ascii="宋体" w:hAnsi="宋体" w:cs="宋体"/>
          <w:sz w:val="24"/>
        </w:rPr>
      </w:pPr>
      <w:r>
        <w:rPr>
          <w:rFonts w:hint="eastAsia" w:ascii="宋体" w:hAnsi="宋体" w:cs="宋体"/>
          <w:color w:val="000000"/>
          <w:sz w:val="24"/>
          <w:lang w:bidi="ar"/>
        </w:rPr>
        <w:t xml:space="preserve">4.服务目标：对</w:t>
      </w:r>
      <w:r>
        <w:rPr>
          <w:rFonts w:hint="eastAsia" w:ascii="宋体" w:hAnsi="宋体" w:cs="宋体"/>
          <w:color w:val="000000"/>
          <w:sz w:val="24"/>
          <w:lang w:val="en-US" w:eastAsia="zh-CN" w:bidi="ar"/>
        </w:rPr>
        <w:t xml:space="preserve">周新苑三期二批、周新苑四期、周新苑五期、瑞雪家园、梁南苑、丰裕园二期等</w:t>
      </w:r>
      <w:r>
        <w:rPr>
          <w:rFonts w:hint="eastAsia" w:ascii="宋体" w:hAnsi="宋体" w:cs="宋体"/>
          <w:color w:val="000000"/>
          <w:sz w:val="24"/>
          <w:lang w:bidi="ar"/>
        </w:rPr>
        <w:t xml:space="preserve">合计</w:t>
      </w:r>
      <w:r>
        <w:rPr>
          <w:rFonts w:hint="eastAsia" w:ascii="宋体" w:hAnsi="宋体" w:cs="宋体"/>
          <w:color w:val="000000"/>
          <w:sz w:val="24"/>
          <w:lang w:val="en-US" w:eastAsia="zh-CN" w:bidi="ar"/>
        </w:rPr>
        <w:t xml:space="preserve">451</w:t>
      </w:r>
      <w:r>
        <w:rPr>
          <w:rFonts w:hint="eastAsia" w:ascii="宋体" w:hAnsi="宋体" w:cs="宋体"/>
          <w:color w:val="000000"/>
          <w:sz w:val="24"/>
          <w:lang w:bidi="ar"/>
        </w:rPr>
        <w:t xml:space="preserve">台电梯保险，并保证设备</w:t>
      </w:r>
      <w:r>
        <w:rPr>
          <w:rFonts w:hint="eastAsia" w:ascii="宋体" w:hAnsi="宋体" w:cs="宋体"/>
          <w:sz w:val="24"/>
        </w:rPr>
        <w:t xml:space="preserve">安全正常运行，保障年审检验合格通过。</w:t>
      </w:r>
      <w:r/>
    </w:p>
    <w:p>
      <w:pPr>
        <w:ind w:firstLine="480"/>
        <w:jc w:val="left"/>
        <w:spacing w:line="440" w:lineRule="exact"/>
        <w:widowControl/>
        <w:rPr>
          <w:rFonts w:ascii="宋体" w:hAnsi="宋体" w:cs="宋体"/>
          <w:sz w:val="24"/>
        </w:rPr>
      </w:pPr>
      <w:r>
        <w:rPr>
          <w:rFonts w:hint="eastAsia" w:ascii="宋体" w:hAnsi="宋体" w:cs="宋体"/>
          <w:sz w:val="24"/>
        </w:rPr>
        <w:t xml:space="preserve">5.项目需求：</w:t>
      </w:r>
      <w:r/>
    </w:p>
    <w:p>
      <w:pPr>
        <w:ind w:firstLine="480"/>
        <w:jc w:val="left"/>
        <w:spacing w:line="44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本次采用保险+服务的模式，包括但不限于对</w:t>
      </w:r>
      <w:r>
        <w:rPr>
          <w:rFonts w:hint="eastAsia" w:ascii="宋体" w:hAnsi="宋体" w:cs="宋体"/>
          <w:color w:val="000000"/>
          <w:sz w:val="24"/>
          <w:highlight w:val="none"/>
          <w:lang w:val="en-US" w:eastAsia="zh-CN" w:bidi="ar"/>
        </w:rPr>
        <w:t xml:space="preserve">451</w:t>
      </w:r>
      <w:r>
        <w:rPr>
          <w:rFonts w:hint="eastAsia" w:ascii="宋体" w:hAnsi="宋体" w:cs="宋体"/>
          <w:color w:val="000000"/>
          <w:sz w:val="24"/>
          <w:highlight w:val="none"/>
          <w:lang w:bidi="ar"/>
        </w:rPr>
        <w:t xml:space="preserve">台电梯设备进行日常巡查、维护保养、维修、应急演练、安全培训宣传、保险服务。</w:t>
      </w:r>
      <w:r/>
    </w:p>
    <w:p>
      <w:pPr>
        <w:ind w:firstLine="480"/>
        <w:jc w:val="left"/>
        <w:spacing w:line="44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具体包括：</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第一部分：第三者责任保险</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（1）人身伤亡或财产损失赔偿：因电梯发生意外事故，造成乘梯人员人身伤亡或财产损失，保险人按照保险合同约定负责赔偿。</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（2）人员滞留赔偿：因电梯发生意外事故，虽未造成人身伤亡但导致乘梯人员在电梯内滞留超过约定时间，保险人按照保险合同约定赔偿标准给予赔偿。</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第二部分：电梯养护费用保险</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维保+维修费用：按照电梯管理的相关规定，保险人承担日常维护保养费用、意外事故导致的电梯故障产生的维修费用，包括零配件费用和人工费、现场安装调试达到正常可使用状态产生的费用。</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第三部分：专业技术服务</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组织电梯安全运营专业管理技术力量，委托专业机构提供电梯安全专业技术服务。建立电梯使用日常巡查制度，加强电梯日常运行安全管理；建立电梯维保质量巡查制度，推动维保单位提高电梯维修质量；负责电梯风险管理和事故隐患排查，促进双重预防体系运行；开展“老旧电梯”安全评估，及时消除电梯安全隐患；建立电梯严重隐患向市场监管部门告知制度；每年度按片区应组织相应电梯事故应急急救处置、应急演练不少于2次；每年组织电梯安全知识宣传、教育和培训等服务不少于2次。</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6.承保方案</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第一部分：电梯安全责任保险</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（1）第三者责任：</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每梯每次累计事故赔偿限额1000万元</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（含人身伤亡或财产损失）；</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每人每次事故死亡及伤残赔偿限额100万元</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（其中含每人每次事故医疗费用赔偿限额10万元）；</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每次事故财产损失赔偿限额3万元。</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第二部分：电梯维保+维修费用</w:t>
      </w:r>
      <w:r/>
    </w:p>
    <w:p>
      <w:pPr>
        <w:ind w:firstLine="480"/>
        <w:jc w:val="left"/>
        <w:spacing w:line="440" w:lineRule="exact"/>
        <w:widowControl/>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每台电梯累计责任限额10万元</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7.下列原因造成的损失不在保险责任范围内，但承保人应对其造成的故障或损坏按规定时间及时响应维修，确保正常使用。除不可抗力外、其相关损失及费用优先向第三方追偿。</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（1）由于人为损坏造成的材料和费用；</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（2）因自然灾害、战争等不可抗力造成的所有材料与费用；</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（3）将原电梯更新为其他电梯的设备和费用。</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8.维保维修服务</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（1）确定电梯维保服务机构。</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成交单位委托的电梯维保服务机构应具有相应资质，经招标人同意。中标人及其委托的维保单位应接受和服从招标人管理，否则招标人有权按照合同文件及相关规定进行相应处罚。</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（2）维保服务团队管理要求。</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服务人员必须是维保服务公司正式编制员工，并持有《中华人民共和国特种设备作业人员证》。</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（3）制定维保服务内容。</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中标机构要依法依规制定维保服务方案，并安排维保服务单位按照方案为区域内投保电梯提供日常维保服务。</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（4）制定维保服务要求。</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日常维护保养要求符合行业标准，同时应满足国家相关规范及行业主管部门要求。</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（5）制定维修服务方案。</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对于电梯零部件、配件的更换，原则上主要以原品牌、原型号为主，特殊情况如原型号已停产的，需提供替代品技术说明并经招标人同意。</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服务方案包括但不限于有关电梯维修的时效保证、品质保证。</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（6）现场管理要求。</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维保单位在维保作业时，必须按要求在相关区域放置保养专用警示牌；维保单位保养人员在进入机房、轿顶或井道作业完毕后，必须锁好门栓。</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在合同履行期间，因维修、维保作业而与此相关的导致各类安全意外事故责任均由中标人及维保单位自行承担全部责任。</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具备抢修、急修的服务和设备，设立24小时值班电话和值班管理制度；建立报修电话登记台帐，对电梯发生的故障等情况及时进行详细记录。</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故障处理：(1) 故障处理及时，从电梯维保单位接到报修后不超过30分钟到达现场；(2)维保人员到达现场后应告知项目管理处开始检修，工作结束后告知项目管理处检修结果；(3)一般故障修复不超过1小时，如需购买更换零件的故障，应及时告知项目经理和工程部备案，并张贴停梯通知和检修恢复时间。</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（7）维保服务过程监督。</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保险机构通过自有的人员和平台对电梯维保和维修服务过程进行监控，对于服务过程中发现的问题，提出整改要求，监督维保单位及时整改。</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（8）安全宣传服务。</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保险公司可根据需要制定相关宣传资料向公众宣传电梯安全使用知识，并定期组织投保客户单位安全员进行电梯安全运行培训，减少电梯正常使用过程中发生意外事故的概率。</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（9）电梯安全综合管理平台功能要求：</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1）实现承保电梯项目管理，实现对承保电梯相关单位，人员进行项目分组。</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2）电梯基础数据档案管理，实现电梯基础信息查看、编辑功能。信息至少包含：电梯编号、电梯使用登记证号、在用停用状态、电梯安装位置所属区、街道/乡镇、具体地址、楼栋、单元、使用状态、电梯类别及使用场所。</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3）单位管理：电梯相关使用单位、物业单位、维保单位基础数据录入、查看、编辑功能。</w:t>
      </w:r>
      <w:r/>
    </w:p>
    <w:tbl>
      <w:tblPr>
        <w:tblStyle w:val="1635"/>
        <w:tblW w:w="8521" w:type="dxa"/>
        <w:jc w:val="center"/>
        <w:tblLayout w:type="autofit"/>
        <w:tblCellMar>
          <w:left w:w="108" w:type="dxa"/>
          <w:top w:w="0" w:type="dxa"/>
          <w:right w:w="108" w:type="dxa"/>
          <w:bottom w:w="0" w:type="dxa"/>
        </w:tblCellMar>
        <w:tblLook w:val="04A0" w:firstRow="1" w:lastRow="0" w:firstColumn="1" w:lastColumn="0" w:noHBand="0" w:noVBand="1"/>
      </w:tblPr>
      <w:tblGrid>
        <w:gridCol w:w="1841"/>
        <w:gridCol w:w="881"/>
        <w:gridCol w:w="1678"/>
        <w:gridCol w:w="412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bCs w:val="0"/>
                <w:color w:val="000000"/>
                <w:sz w:val="24"/>
                <w:szCs w:val="24"/>
                <w:lang w:val="en-US" w:eastAsia="zh-CN" w:bidi="ar"/>
              </w:rPr>
              <w:suppressLineNumbers w:val="0"/>
            </w:pPr>
            <w:r>
              <w:rPr>
                <w:rFonts w:hint="eastAsia" w:ascii="宋体" w:hAnsi="宋体" w:eastAsia="宋体" w:cs="宋体"/>
                <w:b/>
                <w:bCs w:val="0"/>
                <w:color w:val="000000"/>
                <w:sz w:val="24"/>
                <w:szCs w:val="24"/>
                <w:lang w:val="en-US" w:eastAsia="zh-CN" w:bidi="ar"/>
              </w:rPr>
              <w:t xml:space="preserve">数据类型</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bCs w:val="0"/>
                <w:color w:val="000000"/>
                <w:sz w:val="24"/>
                <w:szCs w:val="24"/>
                <w:lang w:val="en-US" w:eastAsia="zh-CN" w:bidi="ar"/>
              </w:rPr>
              <w:suppressLineNumbers w:val="0"/>
            </w:pPr>
            <w:r>
              <w:rPr>
                <w:rFonts w:hint="eastAsia" w:ascii="宋体" w:hAnsi="宋体" w:eastAsia="宋体" w:cs="宋体"/>
                <w:b/>
                <w:bCs w:val="0"/>
                <w:color w:val="000000"/>
                <w:sz w:val="24"/>
                <w:szCs w:val="24"/>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bCs w:val="0"/>
                <w:color w:val="000000"/>
                <w:sz w:val="24"/>
                <w:szCs w:val="24"/>
                <w:lang w:val="en-US" w:eastAsia="zh-CN" w:bidi="ar"/>
              </w:rPr>
              <w:suppressLineNumbers w:val="0"/>
            </w:pPr>
            <w:r>
              <w:rPr>
                <w:rFonts w:hint="eastAsia" w:ascii="宋体" w:hAnsi="宋体" w:eastAsia="宋体" w:cs="宋体"/>
                <w:b/>
                <w:bCs w:val="0"/>
                <w:color w:val="000000"/>
                <w:sz w:val="24"/>
                <w:szCs w:val="24"/>
                <w:lang w:val="en-US" w:eastAsia="zh-CN" w:bidi="ar"/>
              </w:rPr>
              <w:t xml:space="preserve">属性标识符</w:t>
            </w:r>
            <w:r/>
          </w:p>
        </w:tc>
        <w:tc>
          <w:tcPr>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bCs w:val="0"/>
                <w:color w:val="000000"/>
                <w:sz w:val="24"/>
                <w:szCs w:val="24"/>
                <w:lang w:val="en-US" w:eastAsia="zh-CN" w:bidi="ar"/>
              </w:rPr>
              <w:suppressLineNumbers w:val="0"/>
            </w:pPr>
            <w:r>
              <w:rPr>
                <w:rFonts w:hint="eastAsia" w:ascii="宋体" w:hAnsi="宋体" w:eastAsia="宋体" w:cs="宋体"/>
                <w:b/>
                <w:bCs w:val="0"/>
                <w:color w:val="000000"/>
                <w:sz w:val="24"/>
                <w:szCs w:val="24"/>
                <w:lang w:val="en-US" w:eastAsia="zh-CN" w:bidi="ar"/>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41" w:type="dxa"/>
            <w:vAlign w:val="center"/>
            <w:vMerge w:val="restart"/>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电梯运行状态</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电梯停靠楼层</w:t>
            </w:r>
            <w:r/>
          </w:p>
        </w:tc>
        <w:tc>
          <w:tcPr>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pStyle w:val="1628"/>
              <w:ind w:left="0" w:right="0" w:firstLine="0"/>
              <w:jc w:val="left"/>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电梯停靠层站或楼层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电梯当前服务模式</w:t>
            </w:r>
            <w:r/>
          </w:p>
        </w:tc>
        <w:tc>
          <w:tcPr>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pStyle w:val="1628"/>
              <w:ind w:left="0" w:right="0" w:firstLine="0"/>
              <w:jc w:val="left"/>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正常运行、停止服务、检修服务、维修模式、应急电源启动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轿厢运行状态</w:t>
            </w:r>
            <w:r/>
          </w:p>
        </w:tc>
        <w:tc>
          <w:tcPr>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pStyle w:val="1628"/>
              <w:ind w:left="0" w:right="0" w:firstLine="0"/>
              <w:jc w:val="left"/>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停止、运行</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轿厢运行方向</w:t>
            </w:r>
            <w:r/>
          </w:p>
        </w:tc>
        <w:tc>
          <w:tcPr>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pStyle w:val="1628"/>
              <w:ind w:left="0" w:right="0" w:firstLine="0"/>
              <w:jc w:val="left"/>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无方向、上行、下行</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采集开锁区域</w:t>
            </w:r>
            <w:r/>
          </w:p>
        </w:tc>
        <w:tc>
          <w:tcPr>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pStyle w:val="1628"/>
              <w:ind w:left="0" w:right="0" w:firstLine="0"/>
              <w:jc w:val="left"/>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门区、上门区、下门区、非门区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41" w:type="dxa"/>
            <w:vAlign w:val="center"/>
            <w:vMerge w:val="continue"/>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1628"/>
              <w:ind w:left="0" w:right="0" w:firstLine="0"/>
              <w:jc w:val="center"/>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采集轿门状态</w:t>
            </w:r>
            <w:r/>
          </w:p>
        </w:tc>
        <w:tc>
          <w:tcPr>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pStyle w:val="1628"/>
              <w:ind w:left="0" w:right="0" w:firstLine="0"/>
              <w:jc w:val="left"/>
              <w:spacing w:beforeAutospacing="0" w:afterAutospacing="0"/>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正在关门、关门到位、正在开门、开门到位、门锁锁止</w:t>
            </w:r>
            <w:r/>
          </w:p>
        </w:tc>
      </w:tr>
    </w:tbl>
    <w:p>
      <w:pPr>
        <w:ind w:firstLine="480"/>
        <w:jc w:val="left"/>
        <w:spacing w:line="440" w:lineRule="exact"/>
        <w:widowControl/>
        <w:rPr>
          <w:rFonts w:hint="eastAsia"/>
        </w:rPr>
      </w:pPr>
      <w:r>
        <w:rPr>
          <w:rFonts w:hint="eastAsia" w:ascii="宋体" w:hAnsi="宋体" w:eastAsia="宋体" w:cs="宋体"/>
          <w:b w:val="0"/>
          <w:bCs w:val="0"/>
          <w:color w:val="000000"/>
          <w:sz w:val="24"/>
          <w:szCs w:val="24"/>
          <w:lang w:val="en-US" w:eastAsia="zh-CN" w:bidi="ar"/>
        </w:rPr>
        <w:t xml:space="preserve">4）电梯状态：可以通过电梯列表快速查看任意一台电梯实时状态大数据看</w:t>
      </w:r>
      <w:r>
        <w:rPr>
          <w:rFonts w:hint="eastAsia" w:ascii="宋体" w:hAnsi="宋体" w:cs="宋体"/>
          <w:b w:val="0"/>
          <w:bCs w:val="0"/>
          <w:color w:val="000000"/>
          <w:sz w:val="24"/>
          <w:lang w:bidi="ar"/>
        </w:rPr>
        <w:t xml:space="preserve">板，看板信息至少包含电梯基础信息，电梯维保信息，电梯使用频率，电梯30日内维修记录，电梯疲劳度数据（电梯运行楼距离，电梯累计运行时间，电梯运行次数，电梯开关门次数，钢丝绳折弯次数）和电梯实时状态信息。电梯运行状态需要能够监测以下数据项：</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5）自动检测电梯故障，第一时间向维修人员和乙方工程师发送维修通知，分析电梯故障原因，记录电梯故障时间，记录电梯修复时间，记录每一台电梯故障次数，故障识别必须能够识别以下故障：</w:t>
      </w:r>
      <w:r/>
    </w:p>
    <w:tbl>
      <w:tblPr>
        <w:tblStyle w:val="1635"/>
        <w:tblW w:w="0" w:type="auto"/>
        <w:jc w:val="center"/>
        <w:tblLayout w:type="fixed"/>
        <w:tblCellMar>
          <w:left w:w="108" w:type="dxa"/>
          <w:top w:w="0" w:type="dxa"/>
          <w:right w:w="108" w:type="dxa"/>
          <w:bottom w:w="0" w:type="dxa"/>
        </w:tblCellMar>
        <w:tblLook w:val="04A0" w:firstRow="1" w:lastRow="0" w:firstColumn="1" w:lastColumn="0" w:noHBand="0" w:noVBand="1"/>
      </w:tblPr>
      <w:tblGrid>
        <w:gridCol w:w="2106"/>
        <w:gridCol w:w="1410"/>
        <w:gridCol w:w="4901"/>
      </w:tblGrid>
      <w:tr>
        <w:trPr>
          <w:jc w:val="center"/>
          <w:trHeight w:val="321"/>
        </w:trPr>
        <w:tc>
          <w:tcPr>
            <w:tcBorders>
              <w:top w:val="single" w:color="auto" w:sz="4" w:space="0"/>
              <w:left w:val="single" w:color="auto" w:sz="4" w:space="0"/>
              <w:bottom w:val="single" w:color="auto" w:sz="4" w:space="0"/>
              <w:right w:val="single" w:color="000000" w:sz="4" w:space="0"/>
            </w:tcBorders>
            <w:tcW w:w="2106"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数据类型</w:t>
            </w:r>
            <w:r/>
          </w:p>
        </w:tc>
        <w:tc>
          <w:tcPr>
            <w:tcBorders>
              <w:top w:val="single" w:color="auto" w:sz="4" w:space="0"/>
              <w:left w:val="none" w:color="000000" w:sz="4" w:space="0"/>
              <w:bottom w:val="single" w:color="auto" w:sz="4" w:space="0"/>
              <w:right w:val="single" w:color="000000" w:sz="4" w:space="0"/>
            </w:tcBorders>
            <w:tcW w:w="1410" w:type="dxa"/>
            <w:vAlign w:val="center"/>
            <w:textDirection w:val="lrTb"/>
            <w:noWrap w:val="false"/>
          </w:tcPr>
          <w:p>
            <w:pPr>
              <w:ind w:left="0" w:right="0" w:firstLine="480"/>
              <w:jc w:val="both"/>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序号</w:t>
            </w:r>
            <w:r/>
          </w:p>
        </w:tc>
        <w:tc>
          <w:tcPr>
            <w:tcBorders>
              <w:top w:val="single" w:color="auto" w:sz="4" w:space="0"/>
              <w:left w:val="single" w:color="000000" w:sz="4" w:space="0"/>
              <w:bottom w:val="single" w:color="auto"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属性标识符</w:t>
            </w:r>
            <w:r/>
          </w:p>
        </w:tc>
      </w:tr>
      <w:tr>
        <w:trPr>
          <w:jc w:val="center"/>
          <w:trHeight w:val="321"/>
        </w:trPr>
        <w:tc>
          <w:tcPr>
            <w:tcBorders>
              <w:top w:val="single" w:color="auto" w:sz="4" w:space="0"/>
              <w:left w:val="single" w:color="auto" w:sz="4" w:space="0"/>
              <w:bottom w:val="single" w:color="000000" w:sz="4" w:space="0"/>
              <w:right w:val="single" w:color="000000" w:sz="4" w:space="0"/>
            </w:tcBorders>
            <w:tcW w:w="2106"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电梯严重故障</w:t>
            </w:r>
            <w:r/>
          </w:p>
        </w:tc>
        <w:tc>
          <w:tcPr>
            <w:tcBorders>
              <w:top w:val="single" w:color="auto"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非平层停车故障</w:t>
            </w:r>
            <w:r/>
          </w:p>
        </w:tc>
      </w:tr>
      <w:tr>
        <w:trPr>
          <w:jc w:val="center"/>
          <w:trHeight w:val="321"/>
        </w:trPr>
        <w:tc>
          <w:tcPr>
            <w:tcBorders>
              <w:top w:val="single" w:color="auto" w:sz="4" w:space="0"/>
              <w:left w:val="single" w:color="auto" w:sz="4" w:space="0"/>
              <w:bottom w:val="single" w:color="000000"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冲顶故障运</w:t>
            </w:r>
            <w:r/>
          </w:p>
        </w:tc>
      </w:tr>
      <w:tr>
        <w:trPr>
          <w:jc w:val="center"/>
          <w:trHeight w:val="321"/>
        </w:trPr>
        <w:tc>
          <w:tcPr>
            <w:tcBorders>
              <w:top w:val="single" w:color="auto" w:sz="4" w:space="0"/>
              <w:left w:val="single" w:color="auto" w:sz="4" w:space="0"/>
              <w:bottom w:val="single" w:color="000000"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蹲底故障</w:t>
            </w:r>
            <w:r/>
          </w:p>
        </w:tc>
      </w:tr>
      <w:tr>
        <w:trPr>
          <w:jc w:val="center"/>
          <w:trHeight w:val="321"/>
        </w:trPr>
        <w:tc>
          <w:tcPr>
            <w:tcBorders>
              <w:top w:val="single" w:color="auto" w:sz="4" w:space="0"/>
              <w:left w:val="single" w:color="auto" w:sz="4" w:space="0"/>
              <w:bottom w:val="single" w:color="000000"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主电源故障</w:t>
            </w:r>
            <w:r/>
          </w:p>
        </w:tc>
      </w:tr>
      <w:tr>
        <w:trPr>
          <w:jc w:val="center"/>
          <w:trHeight w:val="321"/>
        </w:trPr>
        <w:tc>
          <w:tcPr>
            <w:tcBorders>
              <w:top w:val="none" w:color="000000" w:sz="4" w:space="0"/>
              <w:left w:val="single" w:color="auto" w:sz="4" w:space="0"/>
              <w:bottom w:val="single" w:color="auto" w:sz="4" w:space="0"/>
              <w:right w:val="single" w:color="000000" w:sz="4" w:space="0"/>
            </w:tcBorders>
            <w:tcW w:w="2106" w:type="dxa"/>
            <w:vAlign w:val="center"/>
            <w:vMerge w:val="restart"/>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电梯隐患</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电动机运转时限制器动作</w:t>
            </w:r>
            <w:r/>
          </w:p>
        </w:tc>
      </w:tr>
      <w:tr>
        <w:trPr>
          <w:jc w:val="center"/>
          <w:trHeight w:val="321"/>
        </w:trPr>
        <w:tc>
          <w:tcPr>
            <w:tcBorders>
              <w:top w:val="none" w:color="000000" w:sz="4" w:space="0"/>
              <w:left w:val="single" w:color="auto" w:sz="4" w:space="0"/>
              <w:bottom w:val="single" w:color="auto"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电梯运行时安全回路断路</w:t>
            </w:r>
            <w:r/>
          </w:p>
        </w:tc>
      </w:tr>
      <w:tr>
        <w:trPr>
          <w:jc w:val="center"/>
          <w:trHeight w:val="321"/>
        </w:trPr>
        <w:tc>
          <w:tcPr>
            <w:tcBorders>
              <w:top w:val="none" w:color="000000" w:sz="4" w:space="0"/>
              <w:left w:val="single" w:color="auto" w:sz="4" w:space="0"/>
              <w:bottom w:val="single" w:color="auto"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开门走车</w:t>
            </w:r>
            <w:r/>
          </w:p>
        </w:tc>
      </w:tr>
      <w:tr>
        <w:trPr>
          <w:jc w:val="center"/>
          <w:trHeight w:val="321"/>
        </w:trPr>
        <w:tc>
          <w:tcPr>
            <w:tcBorders>
              <w:top w:val="none" w:color="000000" w:sz="4" w:space="0"/>
              <w:left w:val="single" w:color="auto" w:sz="4" w:space="0"/>
              <w:bottom w:val="single" w:color="auto"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auto"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8</w:t>
            </w:r>
            <w:r/>
          </w:p>
        </w:tc>
        <w:tc>
          <w:tcPr>
            <w:tcBorders>
              <w:top w:val="single" w:color="000000" w:sz="4" w:space="0"/>
              <w:left w:val="single" w:color="000000" w:sz="4" w:space="0"/>
              <w:bottom w:val="single" w:color="auto"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运行中开门</w:t>
            </w:r>
            <w:r/>
          </w:p>
        </w:tc>
      </w:tr>
      <w:tr>
        <w:trPr>
          <w:jc w:val="center"/>
          <w:trHeight w:val="321"/>
        </w:trPr>
        <w:tc>
          <w:tcPr>
            <w:tcBorders>
              <w:top w:val="single" w:color="auto" w:sz="4" w:space="0"/>
              <w:left w:val="single" w:color="auto" w:sz="4" w:space="0"/>
              <w:bottom w:val="single" w:color="auto" w:sz="4" w:space="0"/>
              <w:right w:val="single" w:color="000000" w:sz="4" w:space="0"/>
            </w:tcBorders>
            <w:tcW w:w="2106" w:type="dxa"/>
            <w:vAlign w:val="center"/>
            <w:vMerge w:val="restart"/>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电梯待观察隐患</w:t>
            </w:r>
            <w:r/>
          </w:p>
        </w:tc>
        <w:tc>
          <w:tcPr>
            <w:tcBorders>
              <w:top w:val="single" w:color="auto"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9</w:t>
            </w:r>
            <w:r/>
          </w:p>
        </w:tc>
        <w:tc>
          <w:tcPr>
            <w:tcBorders>
              <w:top w:val="single" w:color="auto"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开门未遂</w:t>
            </w:r>
            <w:r/>
          </w:p>
        </w:tc>
      </w:tr>
      <w:tr>
        <w:trPr>
          <w:jc w:val="center"/>
          <w:trHeight w:val="321"/>
        </w:trPr>
        <w:tc>
          <w:tcPr>
            <w:tcBorders>
              <w:top w:val="single" w:color="auto" w:sz="4" w:space="0"/>
              <w:left w:val="single" w:color="auto" w:sz="4" w:space="0"/>
              <w:bottom w:val="single" w:color="auto"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开门过程超时</w:t>
            </w:r>
            <w:r/>
          </w:p>
        </w:tc>
      </w:tr>
      <w:tr>
        <w:trPr>
          <w:jc w:val="center"/>
          <w:trHeight w:val="321"/>
        </w:trPr>
        <w:tc>
          <w:tcPr>
            <w:tcBorders>
              <w:top w:val="single" w:color="auto" w:sz="4" w:space="0"/>
              <w:left w:val="single" w:color="auto" w:sz="4" w:space="0"/>
              <w:bottom w:val="single" w:color="auto"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关门过程超时</w:t>
            </w:r>
            <w:r/>
          </w:p>
        </w:tc>
      </w:tr>
      <w:tr>
        <w:trPr>
          <w:jc w:val="center"/>
          <w:trHeight w:val="321"/>
        </w:trPr>
        <w:tc>
          <w:tcPr>
            <w:tcBorders>
              <w:top w:val="single" w:color="auto" w:sz="4" w:space="0"/>
              <w:left w:val="single" w:color="auto" w:sz="4" w:space="0"/>
              <w:bottom w:val="single" w:color="auto"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关门受阻超时超次</w:t>
            </w:r>
            <w:r/>
          </w:p>
        </w:tc>
      </w:tr>
      <w:tr>
        <w:trPr>
          <w:jc w:val="center"/>
          <w:trHeight w:val="321"/>
        </w:trPr>
        <w:tc>
          <w:tcPr>
            <w:tcBorders>
              <w:top w:val="single" w:color="auto" w:sz="4" w:space="0"/>
              <w:left w:val="single" w:color="auto" w:sz="4" w:space="0"/>
              <w:bottom w:val="single" w:color="auto"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超时停靠不关门</w:t>
            </w:r>
            <w:r/>
          </w:p>
        </w:tc>
      </w:tr>
      <w:tr>
        <w:trPr>
          <w:jc w:val="center"/>
          <w:trHeight w:val="332"/>
        </w:trPr>
        <w:tc>
          <w:tcPr>
            <w:tcBorders>
              <w:top w:val="single" w:color="auto" w:sz="4" w:space="0"/>
              <w:left w:val="single" w:color="auto" w:sz="4" w:space="0"/>
              <w:bottom w:val="single" w:color="auto" w:sz="4" w:space="0"/>
              <w:right w:val="single" w:color="000000" w:sz="4" w:space="0"/>
            </w:tcBorders>
            <w:tcW w:w="2106" w:type="dxa"/>
            <w:vAlign w:val="center"/>
            <w:vMerge w:val="continue"/>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auto" w:sz="4" w:space="0"/>
              <w:right w:val="single" w:color="000000" w:sz="4" w:space="0"/>
            </w:tcBorders>
            <w:tcW w:w="1410"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14</w:t>
            </w:r>
            <w:r/>
          </w:p>
        </w:tc>
        <w:tc>
          <w:tcPr>
            <w:tcBorders>
              <w:top w:val="single" w:color="000000" w:sz="4" w:space="0"/>
              <w:left w:val="single" w:color="000000" w:sz="4" w:space="0"/>
              <w:bottom w:val="single" w:color="auto" w:sz="4" w:space="0"/>
              <w:right w:val="single" w:color="auto" w:sz="4" w:space="0"/>
            </w:tcBorders>
            <w:tcW w:w="4901"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反复开关门</w:t>
            </w:r>
            <w:r/>
          </w:p>
        </w:tc>
      </w:tr>
    </w:tbl>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6）物联网设备安装必须满足：</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A.安装位置不影响电梯正常维保和救援作业，不影响已有各类设备设施正常使用和运行。</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B.所有物联网设备及附件不与电梯控制系统及电梯本身数据接口相连接。设备安装时不破坏电梯原有结构。</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C.所有设备及附件安装，在安装过程中不得涉及电梯改造，不可对电梯原有部件，线路进行拆卸或重组。即使拆卸后重新复原也不被允许。</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D.井道内不可增加任何连接线。</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E.轿顶加装设备采用落地式安装。设备箱体牢固可靠不晃动。</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7）维保过程远程管理，审核维保单位对电梯的保养工作</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A.每台电梯添加现场维保经理和维保人员，并附加证件</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B.每台电梯记录电梯保养时间，监督电梯时效（30分钟以上）</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C.每台电梯上传保养记录，乙方工程师和现场审核</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D.如保养不合格，将退回通知保养人员整改</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8）维修过程远程管理，维保单位对电梯的维修工作</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A.记录维修人员到场维修时间和电梯修复时间</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B.维修人员上传维修照片，平台上传到乙方电梯管理部门审核</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C.乙方电梯管理部门审核更换部件的质量和功能</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D.乙方工程师审核维修人员的维修时效</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9)每月可形成多项报告，并提供下载功能</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A.电梯运行报告</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B.电梯保养报告</w:t>
      </w:r>
      <w:r/>
    </w:p>
    <w:p>
      <w:pPr>
        <w:ind w:firstLine="480"/>
        <w:jc w:val="left"/>
        <w:spacing w:line="440" w:lineRule="exact"/>
        <w:widowControl/>
        <w:rPr>
          <w:rFonts w:hint="eastAsia" w:ascii="宋体" w:hAnsi="宋体" w:cs="宋体"/>
          <w:b w:val="0"/>
          <w:bCs w:val="0"/>
          <w:color w:val="000000"/>
          <w:sz w:val="24"/>
          <w:lang w:bidi="ar"/>
        </w:rPr>
      </w:pPr>
      <w:r>
        <w:rPr>
          <w:rFonts w:hint="eastAsia" w:ascii="宋体" w:hAnsi="宋体" w:cs="宋体"/>
          <w:b w:val="0"/>
          <w:bCs w:val="0"/>
          <w:color w:val="000000"/>
          <w:sz w:val="24"/>
          <w:lang w:bidi="ar"/>
        </w:rPr>
        <w:t xml:space="preserve">C.电梯维修报告</w:t>
      </w:r>
      <w:r/>
    </w:p>
    <w:p>
      <w:pPr>
        <w:ind w:firstLine="482"/>
        <w:jc w:val="left"/>
        <w:spacing w:line="440" w:lineRule="exact"/>
        <w:widowControl/>
        <w:rPr>
          <w:rFonts w:ascii="宋体" w:hAnsi="宋体" w:cs="宋体"/>
          <w:b/>
          <w:bCs/>
          <w:color w:val="000000"/>
          <w:sz w:val="24"/>
          <w:lang w:bidi="ar"/>
        </w:rPr>
      </w:pPr>
      <w:r>
        <w:rPr>
          <w:rFonts w:hint="eastAsia" w:ascii="宋体" w:hAnsi="宋体" w:cs="宋体"/>
          <w:b/>
          <w:bCs/>
          <w:color w:val="000000"/>
          <w:sz w:val="24"/>
          <w:lang w:bidi="ar"/>
        </w:rPr>
        <w:t xml:space="preserve">三、投标报价</w:t>
      </w:r>
      <w:r/>
    </w:p>
    <w:p>
      <w:pPr>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1.最高限价：</w:t>
      </w:r>
      <w:r>
        <w:rPr>
          <w:highlight w:val="none"/>
        </w:rPr>
      </w:r>
      <w:r/>
    </w:p>
    <w:p>
      <w:pPr>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采购包1：247台，259.35万元/三年，86.45万元/年；</w:t>
      </w:r>
      <w:r>
        <w:rPr>
          <w:highlight w:val="none"/>
        </w:rPr>
      </w:r>
      <w:r/>
    </w:p>
    <w:p>
      <w:pPr>
        <w:ind w:firstLine="480"/>
        <w:jc w:val="left"/>
        <w:spacing w:line="440" w:lineRule="exact"/>
        <w:widowControl/>
        <w:rPr>
          <w:rFonts w:hint="eastAsia" w:ascii="宋体" w:hAnsi="宋体" w:cs="宋体"/>
          <w:color w:val="000000"/>
          <w:sz w:val="24"/>
          <w:highlight w:val="green"/>
          <w:lang w:bidi="ar"/>
        </w:rPr>
      </w:pPr>
      <w:r>
        <w:rPr>
          <w:rFonts w:hint="eastAsia" w:ascii="宋体" w:hAnsi="宋体" w:cs="宋体"/>
          <w:color w:val="000000"/>
          <w:sz w:val="24"/>
          <w:highlight w:val="none"/>
          <w:lang w:val="en-US" w:eastAsia="zh-CN" w:bidi="ar"/>
        </w:rPr>
        <w:t xml:space="preserve">采购包2：204台，214.2万元/三年，71.4万元/年；</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投标人自行踏勘现场，评估了解电梯状况后进行合理报价，中标后不得以任何理由要求额外增加费用。</w:t>
      </w:r>
      <w:r/>
    </w:p>
    <w:p>
      <w:pPr>
        <w:ind w:firstLine="482"/>
        <w:jc w:val="left"/>
        <w:spacing w:line="440" w:lineRule="exact"/>
        <w:widowControl/>
        <w:rPr>
          <w:rFonts w:ascii="宋体" w:hAnsi="宋体" w:cs="宋体"/>
          <w:color w:val="000000"/>
          <w:sz w:val="24"/>
          <w:lang w:bidi="ar"/>
        </w:rPr>
      </w:pPr>
      <w:r>
        <w:rPr>
          <w:rFonts w:hint="eastAsia" w:ascii="宋体" w:hAnsi="宋体" w:cs="宋体"/>
          <w:b/>
          <w:bCs/>
          <w:color w:val="000000"/>
          <w:sz w:val="24"/>
          <w:lang w:bidi="ar"/>
        </w:rPr>
        <w:t xml:space="preserve">四、保费支付方式</w:t>
      </w:r>
      <w:r>
        <w:rPr>
          <w:rFonts w:hint="eastAsia" w:ascii="宋体" w:hAnsi="宋体" w:cs="宋体"/>
          <w:color w:val="000000"/>
          <w:sz w:val="24"/>
          <w:lang w:bidi="ar"/>
        </w:rPr>
        <w:t xml:space="preserve"> </w:t>
      </w:r>
      <w:r/>
    </w:p>
    <w:p>
      <w:pPr>
        <w:ind w:firstLine="480"/>
        <w:spacing w:line="360" w:lineRule="auto"/>
        <w:rPr>
          <w:rFonts w:ascii="宋体" w:hAnsi="宋体" w:cs="宋体"/>
          <w:color w:val="000000"/>
          <w:sz w:val="24"/>
          <w:highlight w:val="none"/>
          <w:lang w:bidi="ar"/>
        </w:rPr>
      </w:pPr>
      <w:r>
        <w:rPr>
          <w:rFonts w:hint="eastAsia" w:ascii="宋体" w:hAnsi="宋体" w:cs="宋体"/>
          <w:color w:val="000000"/>
          <w:sz w:val="24"/>
          <w:lang w:bidi="ar"/>
        </w:rPr>
        <w:t xml:space="preserve">1.支付方式：</w:t>
      </w:r>
      <w:r>
        <w:rPr>
          <w:rFonts w:hint="eastAsia" w:ascii="宋体" w:hAnsi="宋体" w:cs="宋体"/>
          <w:color w:val="000000"/>
          <w:sz w:val="24"/>
          <w:highlight w:val="none"/>
          <w:lang w:val="en-US" w:eastAsia="zh-CN" w:bidi="ar"/>
        </w:rPr>
        <w:t xml:space="preserve">投保人于合同签订并生效后十个工作日内将首批实际投保电梯的年度总保费的50%划支付给保险人。承保人在收到保费后，出具全年保单。在项目正常运营六个月后，在十个工作日内投保人将年度总保费的30%支付给保险人。剩余20%的年度保费在年度项目结束后十个工作日内支付给保险人。</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2.中标单位在接到每年付款后，出具保险范围内的全年保单。保单内容不得实质性违背本项目招投标文件及合同约定。 </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3.因维护不当等原因造成的各类行政处罚费用均由中标单位承担。</w:t>
      </w:r>
      <w:r/>
    </w:p>
    <w:p>
      <w:pPr>
        <w:ind w:firstLine="482"/>
        <w:jc w:val="left"/>
        <w:spacing w:line="440" w:lineRule="exact"/>
        <w:widowControl/>
        <w:rPr>
          <w:rFonts w:ascii="宋体" w:hAnsi="宋体" w:cs="宋体"/>
          <w:color w:val="000000"/>
          <w:sz w:val="24"/>
          <w:lang w:bidi="ar"/>
        </w:rPr>
      </w:pPr>
      <w:r>
        <w:rPr>
          <w:rFonts w:hint="eastAsia" w:ascii="宋体" w:hAnsi="宋体" w:cs="宋体"/>
          <w:b/>
          <w:bCs/>
          <w:color w:val="000000"/>
          <w:sz w:val="24"/>
          <w:lang w:bidi="ar"/>
        </w:rPr>
        <w:t xml:space="preserve">五、相关服务</w:t>
      </w:r>
      <w:r>
        <w:rPr>
          <w:rFonts w:hint="eastAsia" w:ascii="宋体" w:hAnsi="宋体" w:cs="宋体"/>
          <w:color w:val="000000"/>
          <w:sz w:val="24"/>
          <w:lang w:bidi="ar"/>
        </w:rPr>
        <w:t xml:space="preserve"> </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1.中标单位对本采购项目设立专项服务小组，负责按照本次保险的有关要求为各被保险人提供承保、理赔及其他各类保险服务，包括必要的组织与协调工作。 </w:t>
      </w:r>
      <w:r/>
    </w:p>
    <w:p>
      <w:pPr>
        <w:ind w:firstLine="480"/>
        <w:jc w:val="left"/>
        <w:spacing w:line="44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2.理赔服务</w:t>
      </w:r>
      <w:r/>
    </w:p>
    <w:p>
      <w:pPr>
        <w:ind w:firstLine="480"/>
        <w:jc w:val="left"/>
        <w:spacing w:line="440" w:lineRule="exac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（1）采购人应协助中标单位收取理赔材料，中标单位指派专人负责定期至采购人处受理被保险单位理赔事项，确保理赔环节的高效畅通； </w:t>
      </w:r>
      <w:r/>
    </w:p>
    <w:p>
      <w:pPr>
        <w:ind w:firstLine="480"/>
        <w:jc w:val="left"/>
        <w:spacing w:line="440" w:lineRule="exact"/>
        <w:widowControl/>
        <w:rPr>
          <w:rFonts w:hint="eastAsia" w:ascii="宋体" w:hAnsi="宋体" w:eastAsia="宋体" w:cs="宋体"/>
          <w:color w:val="000000"/>
          <w:sz w:val="24"/>
          <w:highlight w:val="none"/>
          <w:lang w:bidi="ar"/>
        </w:rPr>
      </w:pPr>
      <w:r>
        <w:rPr>
          <w:rFonts w:hint="eastAsia" w:ascii="宋体" w:hAnsi="宋体" w:cs="宋体"/>
          <w:color w:val="000000"/>
          <w:sz w:val="24"/>
          <w:highlight w:val="none"/>
          <w:lang w:bidi="ar"/>
        </w:rPr>
        <w:t xml:space="preserve">（2）中标单位应在受理被保险单位理赔事项后的三十个工作日内完成赔</w:t>
      </w:r>
      <w:r>
        <w:rPr>
          <w:rFonts w:hint="eastAsia" w:ascii="宋体" w:hAnsi="宋体" w:eastAsia="宋体" w:cs="宋体"/>
          <w:color w:val="000000"/>
          <w:sz w:val="24"/>
          <w:highlight w:val="none"/>
          <w:lang w:bidi="ar"/>
        </w:rPr>
        <w:t xml:space="preserve">付。 </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3.本项目中标单位如为小型、微型企业，不得分包或转包给大型、中型企业，中型企业不得分包或转包给大型企业。 </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4.中标单位应按主管部门或采购人或电梯年检要求提供相应的资料。</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5.电梯因故障或事故,责任定性后，保险机构应立即组织维保单位进行电梯维修，保证电梯正常运行。 </w:t>
      </w:r>
      <w:r/>
    </w:p>
    <w:p>
      <w:pPr>
        <w:ind w:firstLine="482"/>
        <w:jc w:val="left"/>
        <w:spacing w:line="440" w:lineRule="exact"/>
        <w:widowControl/>
        <w:rPr>
          <w:rFonts w:ascii="宋体" w:hAnsi="宋体" w:cs="宋体"/>
          <w:color w:val="000000"/>
          <w:sz w:val="24"/>
          <w:lang w:bidi="ar"/>
        </w:rPr>
      </w:pPr>
      <w:r>
        <w:rPr>
          <w:rFonts w:hint="eastAsia" w:ascii="宋体" w:hAnsi="宋体" w:cs="宋体"/>
          <w:b/>
          <w:bCs/>
          <w:color w:val="000000"/>
          <w:sz w:val="24"/>
          <w:lang w:bidi="ar"/>
        </w:rPr>
        <w:t xml:space="preserve">六、综合说明及其它要求</w:t>
      </w:r>
      <w:r>
        <w:rPr>
          <w:rFonts w:hint="eastAsia" w:ascii="宋体" w:hAnsi="宋体" w:cs="宋体"/>
          <w:color w:val="000000"/>
          <w:sz w:val="24"/>
          <w:lang w:bidi="ar"/>
        </w:rPr>
        <w:t xml:space="preserve"> </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1.投标人授权委托人必须是投标单位的正式员工。 </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2.投标人须制定详细的服务方案。 </w:t>
      </w:r>
      <w:r/>
    </w:p>
    <w:p>
      <w:pPr>
        <w:ind w:firstLine="480"/>
        <w:jc w:val="left"/>
        <w:spacing w:line="440" w:lineRule="exact"/>
        <w:widowControl/>
        <w:rPr>
          <w:rFonts w:ascii="宋体" w:hAnsi="宋体" w:cs="宋体"/>
          <w:color w:val="000000"/>
          <w:sz w:val="24"/>
          <w:lang w:bidi="ar"/>
        </w:rPr>
      </w:pPr>
      <w:r>
        <w:rPr>
          <w:rFonts w:hint="eastAsia" w:ascii="宋体" w:hAnsi="宋体" w:cs="宋体"/>
          <w:color w:val="000000"/>
          <w:sz w:val="24"/>
          <w:lang w:bidi="ar"/>
        </w:rPr>
        <w:t xml:space="preserve">3.投标人必须承诺招标文件中提出的全部服务要求，如果其中某些条款不响应时，应在文件中逐条列出，未列出的视同响应。 </w:t>
      </w:r>
      <w:r/>
    </w:p>
    <w:p>
      <w:pPr>
        <w:ind w:firstLine="482"/>
        <w:jc w:val="left"/>
        <w:spacing w:line="440" w:lineRule="exact"/>
        <w:widowControl/>
        <w:rPr>
          <w:rFonts w:hint="eastAsia" w:ascii="宋体" w:hAnsi="宋体" w:cs="宋体"/>
          <w:b/>
          <w:bCs/>
          <w:sz w:val="24"/>
          <w:highlight w:val="none"/>
        </w:rPr>
      </w:pPr>
      <w:r>
        <w:rPr>
          <w:rFonts w:hint="eastAsia" w:ascii="宋体" w:hAnsi="宋体" w:cs="宋体"/>
          <w:b/>
          <w:bCs/>
          <w:color w:val="000000"/>
          <w:sz w:val="24"/>
          <w:highlight w:val="none"/>
          <w:lang w:bidi="ar"/>
        </w:rPr>
        <w:t xml:space="preserve">七、</w:t>
      </w:r>
      <w:r>
        <w:rPr>
          <w:rFonts w:hint="eastAsia" w:ascii="宋体" w:hAnsi="宋体" w:cs="宋体"/>
          <w:b/>
          <w:bCs/>
          <w:sz w:val="24"/>
          <w:highlight w:val="none"/>
        </w:rPr>
        <w:t xml:space="preserve">承保电梯清单</w:t>
      </w:r>
      <w:r/>
    </w:p>
    <w:p>
      <w:pPr>
        <w:ind w:firstLine="480"/>
        <w:jc w:val="left"/>
        <w:spacing w:line="440" w:lineRule="exact"/>
        <w:widowControl/>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采购包1：周新苑四期、五期以及丰裕苑二期，电梯总数247台</w:t>
      </w:r>
      <w:r/>
    </w:p>
    <w:tbl>
      <w:tblPr>
        <w:tblStyle w:val="1635"/>
        <w:tblW w:w="43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2"/>
        <w:gridCol w:w="1982"/>
        <w:gridCol w:w="2117"/>
        <w:gridCol w:w="1433"/>
        <w:gridCol w:w="613"/>
        <w:gridCol w:w="605"/>
        <w:gridCol w:w="737"/>
      </w:tblGrid>
      <w:tr>
        <w:trPr>
          <w:jc w:val="center"/>
          <w:trHeight w:val="312"/>
        </w:trPr>
        <w:tc>
          <w:tcPr>
            <w:gridSpan w:val="7"/>
            <w:shd w:val="clear" w:color="auto" w:fill="auto"/>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周新苑五期</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设备使用地点</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注册代码</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层</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站</w:t>
            </w:r>
            <w:r/>
          </w:p>
        </w:tc>
        <w:tc>
          <w:tcPr>
            <w:shd w:val="clear" w:color="auto" w:fill="auto"/>
            <w:tcBorders>
              <w:top w:val="single" w:color="000000" w:sz="4" w:space="0"/>
              <w:left w:val="single" w:color="000000" w:sz="4" w:space="0"/>
              <w:bottom w:val="single" w:color="000000" w:sz="4" w:space="0"/>
              <w:right w:val="single" w:color="auto" w:sz="4" w:space="0"/>
            </w:tcBorders>
            <w:tcW w:w="44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门</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周新苑五期255#左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31103202112011070174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周新苑五期255#右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周新苑五期256#左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周新苑五期256#右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31103202112011070109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周新苑五期257#左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31103202112011070104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周新苑五期257#右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31103202112011070107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周新苑五期258#左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31103202112011070105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周新苑五期258#右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31103202112011070103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周新苑五期259#左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31103202112011070108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周新苑五期259#右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31103202112011070106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周新苑五期260#左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周新苑五期260#右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周新苑五期261#左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周新苑五期261#右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周新苑五期262#右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周新苑五期262#左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周新苑五期263#左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周新苑五期263#右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周新苑五期265#左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周新苑五期265#右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周新苑五期266#左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周新苑五期266#右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周新苑五期267#左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31103202112011070119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周新苑五期267#右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周新苑五期268#左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周新苑五期268#右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周新苑五期269#左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周新苑五期269#右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31103202112011070172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周新苑五期270#左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周新苑五期270#右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31103202112011070129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周新苑五期271#左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周新苑五期271#右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周新苑五期272#左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周新苑五期272#右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周新苑五期273#左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周新苑五期273#右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周新苑五期276#左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周新苑五期276#右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周新苑五期277#左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周新苑五期277#右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周新苑五期278#左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周新苑五期278#右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31103202112011070137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周新苑五期279#左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周新苑五期279#右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周新苑五期281#左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周新苑五期281#右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周新苑五期282#左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周新苑五期282#右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周新苑五期283#左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周新苑五期283#右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周新苑五期285#左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周新苑五期285#右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周新苑五期286#左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周新苑五期286#右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31103202112011070149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周新苑五期288#左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31103202112011070170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周新苑五期288#右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周新苑五期289#左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周新苑五期289#右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周新苑五期290#左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周新苑五期290#右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周新苑五期291#左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31103202112011070154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周新苑五期291#右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周新苑五期292#左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周新苑五期292#右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周新苑五期295#右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31103202112011070171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周新苑五期295#左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HGP900C0120</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周新苑五期296#左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周新苑五期296#右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周新苑五期297#左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周新苑五期297#右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周新苑五期298#左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31103202112011070173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周新苑五期298#右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31103202112011070167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HGP900C0105</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auto"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r>
      <w:tr>
        <w:trPr>
          <w:jc w:val="center"/>
          <w:trHeight w:val="312"/>
        </w:trPr>
        <w:tc>
          <w:tcPr>
            <w:gridSpan w:val="7"/>
            <w:shd w:val="clear" w:color="auto" w:fill="auto"/>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周新苑四期</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设备使用地点</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注册代码</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层</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门</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151</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151</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152</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152</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153</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153</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155</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155</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159</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159</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160</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160</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161</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161</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162</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31103202112010070169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162</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163</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163</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165</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165</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166</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166</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167</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167</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168</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168</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31103202112010070179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172</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172</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177</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177</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178</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178</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179</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179</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180</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180</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181</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181</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182</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182</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183</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183</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31103202112010070189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184</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184</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185</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185</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187</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187</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188</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188</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189</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189</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190</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190</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191</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191</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192</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192</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193</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193</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194</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194</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31103202112010070140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195</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195</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196</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196</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197</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197</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198</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31103202112010070199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198</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207</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31103202112010070200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207</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31103202112010070201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208</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31103202112010070202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208</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31103202112010070203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209</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31103202112010070204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209</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31103202112010070130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31103202112012050004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31103202112012050003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31103202112012050002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242</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31103202112010070205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242</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31103202112010070206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243</w:t>
            </w:r>
            <w:r>
              <w:rPr>
                <w:rFonts w:hint="eastAsia" w:ascii="宋体" w:hAnsi="宋体" w:eastAsia="宋体" w:cs="宋体"/>
                <w:i w:val="0"/>
                <w:iCs w:val="0"/>
                <w:color w:val="000000"/>
                <w:sz w:val="15"/>
                <w:szCs w:val="15"/>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31103202112010070207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243</w:t>
            </w:r>
            <w:r>
              <w:rPr>
                <w:rFonts w:hint="eastAsia" w:ascii="宋体" w:hAnsi="宋体" w:eastAsia="宋体" w:cs="宋体"/>
                <w:i w:val="0"/>
                <w:iCs w:val="0"/>
                <w:color w:val="000000"/>
                <w:sz w:val="15"/>
                <w:szCs w:val="15"/>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31103202112010070156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31103202112010070093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31103202112010070118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31103202112010070103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31103202112010070081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31103202112010070124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449" w:type="pct"/>
            <w:vAlign w:val="bottom"/>
            <w:textDirection w:val="lrTb"/>
            <w:noWrap/>
          </w:tcPr>
          <w:p>
            <w:pPr>
              <w:jc w:val="center"/>
              <w:keepLines w:val="0"/>
              <w:keepNext w:val="0"/>
              <w:widowControl/>
              <w:rPr>
                <w:rFonts w:hint="default" w:ascii="Arial" w:hAnsi="Arial" w:eastAsia="宋体" w:cs="Arial"/>
                <w:i w:val="0"/>
                <w:iCs w:val="0"/>
                <w:color w:val="000000"/>
                <w:sz w:val="15"/>
                <w:szCs w:val="15"/>
                <w:u w:val="none"/>
              </w:rPr>
              <w:suppressLineNumbers w:val="0"/>
            </w:pPr>
            <w:r>
              <w:rPr>
                <w:rFonts w:hint="default" w:ascii="Arial" w:hAnsi="Arial" w:eastAsia="宋体" w:cs="Arial"/>
                <w:i w:val="0"/>
                <w:iCs w:val="0"/>
                <w:color w:val="000000"/>
                <w:sz w:val="15"/>
                <w:szCs w:val="15"/>
                <w:u w:val="none"/>
                <w:lang w:val="en-US" w:eastAsia="zh-CN" w:bidi="ar"/>
              </w:rPr>
              <w:t xml:space="preserve">12</w:t>
            </w:r>
            <w:r/>
          </w:p>
        </w:tc>
      </w:tr>
      <w:tr>
        <w:trPr>
          <w:jc w:val="center"/>
          <w:trHeight w:val="312"/>
        </w:trPr>
        <w:tc>
          <w:tcPr>
            <w:gridSpan w:val="7"/>
            <w:shd w:val="clear" w:color="auto" w:fill="auto"/>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丰裕苑二期</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设备使用地点</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注册代码</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层</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门</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31103202112012080047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31103202112012080048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31103202112012080049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39左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39右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31103202112012080059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42左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42右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43左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43右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31103202112012080069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31103202112012080070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31103202112012080071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31103202112012080072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31103202112012080073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31103202112012080074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51左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51右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53左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53右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54左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54右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55左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31103202112012120026</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55右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31103202112012120027</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56左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31103202112012120028</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56右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31103202112012120029</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57左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31103202112012120030</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57右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31103202112012120031</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58左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31103202112012120032</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58右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31103202112012120033</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59左</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31103202112012120034</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59右</w:t>
            </w:r>
            <w:r/>
          </w:p>
        </w:tc>
        <w:tc>
          <w:tcPr>
            <w:shd w:val="clear" w:color="auto" w:fill="auto"/>
            <w:tcBorders>
              <w:top w:val="single" w:color="000000" w:sz="4" w:space="0"/>
              <w:left w:val="single" w:color="000000" w:sz="4" w:space="0"/>
              <w:bottom w:val="single" w:color="000000" w:sz="4" w:space="0"/>
              <w:right w:val="single" w:color="000000" w:sz="4" w:space="0"/>
            </w:tcBorders>
            <w:tcW w:w="129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31103202112012120035</w:t>
            </w:r>
            <w:r/>
          </w:p>
        </w:tc>
        <w:tc>
          <w:tcPr>
            <w:shd w:val="clear" w:color="auto" w:fill="auto"/>
            <w:tcBorders>
              <w:top w:val="single" w:color="000000" w:sz="4" w:space="0"/>
              <w:left w:val="single" w:color="000000" w:sz="4" w:space="0"/>
              <w:bottom w:val="single" w:color="000000" w:sz="4" w:space="0"/>
              <w:right w:val="single" w:color="000000" w:sz="4" w:space="0"/>
            </w:tcBorders>
            <w:tcW w:w="87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r>
    </w:tbl>
    <w:p>
      <w:pPr>
        <w:pStyle w:val="1657"/>
        <w:jc w:val="both"/>
        <w:rPr>
          <w:rFonts w:hint="default"/>
          <w:lang w:val="en-US" w:eastAsia="zh-CN"/>
        </w:rPr>
      </w:pPr>
      <w:r>
        <w:rPr>
          <w:rFonts w:hint="default"/>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eastAsia="宋体" w:cs="宋体"/>
          <w:color w:val="000000"/>
          <w:sz w:val="24"/>
          <w:lang w:val="en-US" w:eastAsia="zh-CN" w:bidi="ar"/>
        </w:rPr>
      </w:pPr>
      <w:r>
        <w:rPr>
          <w:rFonts w:hint="eastAsia" w:ascii="宋体" w:hAnsi="宋体" w:eastAsia="宋体" w:cs="宋体"/>
          <w:color w:val="000000"/>
          <w:sz w:val="24"/>
          <w:lang w:val="en-US" w:eastAsia="zh-CN" w:bidi="ar"/>
        </w:rPr>
        <w:t xml:space="preserve">采购包2：周新苑三期二批、梁南苑以及瑞雪家园，电梯总数204台</w:t>
      </w:r>
      <w:r/>
    </w:p>
    <w:tbl>
      <w:tblPr>
        <w:tblStyle w:val="1635"/>
        <w:tblW w:w="450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5"/>
        <w:gridCol w:w="1653"/>
        <w:gridCol w:w="3036"/>
        <w:gridCol w:w="1196"/>
        <w:gridCol w:w="389"/>
        <w:gridCol w:w="224"/>
        <w:gridCol w:w="535"/>
        <w:gridCol w:w="650"/>
      </w:tblGrid>
      <w:tr>
        <w:trPr>
          <w:jc w:val="center"/>
          <w:trHeight w:val="312"/>
        </w:trPr>
        <w:tc>
          <w:tcPr>
            <w:gridSpan w:val="8"/>
            <w:shd w:val="clear" w:color="auto" w:fill="auto"/>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周新苑三期二批</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设备使用地点</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注册代码</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层</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站</w:t>
            </w:r>
            <w:r/>
          </w:p>
        </w:tc>
        <w:tc>
          <w:tcPr>
            <w:shd w:val="clear" w:color="auto" w:fill="auto"/>
            <w:tcBorders>
              <w:top w:val="single" w:color="000000" w:sz="4" w:space="0"/>
              <w:left w:val="single" w:color="000000" w:sz="4" w:space="0"/>
              <w:bottom w:val="single" w:color="000000" w:sz="4" w:space="0"/>
              <w:right w:val="single" w:color="auto" w:sz="4" w:space="0"/>
            </w:tcBorders>
            <w:tcW w:w="38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门</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周新苑533#左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周新苑533#右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31103202112011100072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周新苑537#左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周新苑537#右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周新苑538#左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周新苑538#右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31103202112011100016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周新苑547#左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周新苑547#右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31103202112011100073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周新苑548#左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周新苑548#右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16/16/16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周新苑549#右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16/16/16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18/18/18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31103202112011100071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周新苑553#左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31103202112011100070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周新苑553#右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周新苑557#左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周新苑557#右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周新苑558#左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周新苑558#右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31103202112011100019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9000KT08152F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17/17/17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周新苑567#左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22/22/22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周新苑567#右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21/21/21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周新苑568#左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31103202112011100018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18/18/18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周新苑568#右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18/18/18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31103202112011100047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21/21/21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31103202112011100059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周新苑三期二批565#右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31103202112011100038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周新苑551#右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31103202112011100022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18/18/18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周新苑566#右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31103202112011100017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22/22/22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周新苑535#右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31103202112011100060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9000KT08172F</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19/19/19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周新苑三期505#</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12/12/12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周新苑三期506#</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12/12/12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周新苑三期507#</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12/12/12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周新苑三期508#</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12/12/12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周新苑三期509#左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16/16/16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周新苑三期509#右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15/15/15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16/16/16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15/15/15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16/16/16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15/15/15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周新苑三期515#</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12/12/12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周新苑三期516#</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31103202112010060267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12/12/12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周新苑三期517#</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12/12/12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周新苑三期518#左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16/16/16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周新苑三期518#右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15/15/15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15/15/15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周新苑三期519#左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31103202112010060246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16/16/16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31103202112010060244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16/16/16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31103202112010060245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GVFⅡ800CO90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15/15/15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31103202112010060249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22/22/22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31103202112010060253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21/21/21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31103202112010060248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21/21/21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31103202112010060247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22/22/22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周新苑三期527#左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31103202112010120020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22/22/22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周新苑三期527#右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31103202112010120019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21/21/21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周新苑三期528#左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31103202112010120018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21/21/21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周新苑三期528#右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31103202112010120017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22/22/22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31103202112010120016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21/21/21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周新苑三期529#右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31103202112010120015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GVFⅡ800CO105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22/22/22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周新苑三期530#左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31103202112010120014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周新苑三期530#右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31103202112010120013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GVFⅡ800CO120</w:t>
            </w:r>
            <w:r/>
          </w:p>
        </w:tc>
        <w:tc>
          <w:tcPr>
            <w:gridSpan w:val="4"/>
            <w:shd w:val="clear" w:color="auto" w:fill="auto"/>
            <w:tcBorders>
              <w:top w:val="single" w:color="000000" w:sz="4" w:space="0"/>
              <w:left w:val="single" w:color="000000" w:sz="4" w:space="0"/>
              <w:bottom w:val="single" w:color="000000" w:sz="4" w:space="0"/>
              <w:right w:val="single" w:color="auto" w:sz="4" w:space="0"/>
            </w:tcBorders>
            <w:tcW w:w="107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30/30/30</w:t>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瑞雪家园</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设备使用地点</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注册代码</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站</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门</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31103202112016120127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31103202112016120126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瑞雪家园3单元左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瑞雪家园3单元右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瑞雪家园4单元</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13/13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瑞雪家园5单元</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13/13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瑞雪家园11单元左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31103202112016120129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34/34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瑞雪家园11单元右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34/34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瑞雪家园13#左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瑞雪家园13#右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瑞雪家园14#左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31103202112016120128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35/35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瑞雪家园14#右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35/35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31103202112016120138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瑞雪家园17#</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31103202112016120152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瑞雪家园18单元左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瑞雪家园18单元右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31103202112016120151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瑞雪家园19单元左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31103202112016120150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瑞雪家园19单元右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瑞雪家园20单元左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35/35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瑞雪家园20单元右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31103202112016120148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35/35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31103202112016120153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31103202112016120155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31103202112016120156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31103202112016120154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OTIS Sweet</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瑞雪家园23单元左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31103202112017010037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9000KT08202XS</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瑞雪家园23单元右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31103202112017010042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9000KT08202XS</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瑞雪家园24单元左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31103202112017010044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9000KT08202XS</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瑞雪家园24单元右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31103202112017010040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9000KT08202XS</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31103202112017010023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9000KT08172XR</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23/23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31103202112017010021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9000KT08172XR</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23/23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31103202112017010019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9000KT08172XR</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23/23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31103202112017010018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9000KT08172XR</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23/23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瑞雪家园27单元左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31103202112017010016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9000KT08172XR</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23/23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瑞雪家园27单元右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31103202112017010020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9000KT08172XR</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23/23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瑞雪家园28单元左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31103202112017010017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9000KT08172XR</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23/23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瑞雪家园28单元右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31103202112017010025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9000KT08172XR</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23/23</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瑞雪家园29单元左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31103202112017010015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9000KT08202XS</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34/34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瑞雪家园29单元右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31103202112017010026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9000KT08202XS</w:t>
            </w:r>
            <w:r/>
          </w:p>
        </w:tc>
        <w:tc>
          <w:tcPr>
            <w:gridSpan w:val="4"/>
            <w:shd w:val="clear" w:color="auto" w:fill="auto"/>
            <w:tcBorders>
              <w:top w:val="single" w:color="000000" w:sz="4" w:space="0"/>
              <w:left w:val="single" w:color="000000" w:sz="4" w:space="0"/>
              <w:bottom w:val="single" w:color="000000" w:sz="4" w:space="0"/>
              <w:right w:val="single" w:color="auto"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34/34</w:t>
            </w:r>
            <w:r/>
          </w:p>
        </w:tc>
      </w:tr>
      <w:tr>
        <w:trPr>
          <w:jc w:val="center"/>
          <w:trHeight w:val="312"/>
        </w:trPr>
        <w:tc>
          <w:tcPr>
            <w:gridSpan w:val="8"/>
            <w:shd w:val="clear" w:color="auto" w:fill="auto"/>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梁南苑</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设备使用地点</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注册代码</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站</w:t>
            </w:r>
            <w:r/>
          </w:p>
        </w:tc>
        <w:tc>
          <w:tcPr>
            <w:shd w:val="clear" w:color="auto" w:fill="auto"/>
            <w:tcBorders>
              <w:top w:val="single" w:color="000000" w:sz="4" w:space="0"/>
              <w:left w:val="single" w:color="000000" w:sz="4" w:space="0"/>
              <w:bottom w:val="single" w:color="000000" w:sz="4" w:space="0"/>
              <w:right w:val="single" w:color="auto" w:sz="4" w:space="0"/>
            </w:tcBorders>
            <w:tcW w:w="389" w:type="pct"/>
            <w:vAlign w:val="center"/>
            <w:textDirection w:val="lrTb"/>
            <w:noWrap/>
          </w:tcPr>
          <w:p>
            <w:pPr>
              <w:jc w:val="center"/>
              <w:keepLines w:val="0"/>
              <w:keepNext w:val="0"/>
              <w:widowControl/>
              <w:rPr>
                <w:rFonts w:hint="eastAsia" w:ascii="宋体" w:hAnsi="宋体" w:eastAsia="宋体" w:cs="宋体"/>
                <w:b/>
                <w:bCs/>
                <w:i w:val="0"/>
                <w:iCs w:val="0"/>
                <w:color w:val="000000"/>
                <w:sz w:val="15"/>
                <w:szCs w:val="15"/>
                <w:u w:val="none"/>
              </w:rPr>
              <w:suppressLineNumbers w:val="0"/>
            </w:pPr>
            <w:r>
              <w:rPr>
                <w:rFonts w:hint="eastAsia" w:ascii="宋体" w:hAnsi="宋体" w:eastAsia="宋体" w:cs="宋体"/>
                <w:b/>
                <w:bCs/>
                <w:i w:val="0"/>
                <w:iCs w:val="0"/>
                <w:color w:val="000000"/>
                <w:sz w:val="15"/>
                <w:szCs w:val="15"/>
                <w:u w:val="none"/>
                <w:lang w:val="en-US" w:eastAsia="zh-CN" w:bidi="ar"/>
              </w:rPr>
              <w:t xml:space="preserve">门</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25/25/25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25/25/25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25/25/25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客梯4#左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客梯4#右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25/25/25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25/25/25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25/25/25</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客梯7#左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30/29/29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客梯7#右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30/29/29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客梯8#左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30/29/29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客梯8#右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30/29/29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30103202112014060030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30103202112014060001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32/32/32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30103202112014060019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客梯13#左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客梯13#右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客梯14#左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客梯14#右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32/32/32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30103202112014060028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30103202112014060031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24/24/24</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30103202112014060032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客梯17#左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30103202112014060033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29/28/28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客梯17#右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30103202112014060034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GLVFⅡ</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30/29/29</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客梯19#右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28/28/28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31103202112014060048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28/28/28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32/32/32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客梯23#左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28/28/28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客梯23#右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客梯24#左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客梯24#右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28/28/28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32/32/32</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客梯26#左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客梯26#右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客梯27#左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客梯27#右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30/30/30</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客梯28#左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客梯28#右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27/27/27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客梯29#左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31103202112014060068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客梯29#右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27/27/27</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客梯30#左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31103202112014060081</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28/28/28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客梯30#右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31103202112014060073</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客梯31#左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31103202112014060077</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客梯31#右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31103202112014060074</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28/28/28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客梯32#左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31103202112014060076</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28/28/28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客梯32#右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31103202112014060075</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客梯33#左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31103202112014060080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26/26/26</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客梯33#右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31103202112014060078</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28/28/28</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客梯34#左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31103202112014060050</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客梯34#右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31103202112014060049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客梯35#左</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31103202112014060072</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 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31/31/31</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90"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客梯35#右</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31103202112014060079</w:t>
            </w:r>
            <w:r/>
          </w:p>
        </w:tc>
        <w:tc>
          <w:tcPr>
            <w:shd w:val="clear" w:color="auto" w:fill="auto"/>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lang w:val="en-US" w:eastAsia="zh-CN" w:bidi="ar"/>
              </w:rPr>
              <w:t xml:space="preserve">MCA825CO120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076"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5"/>
                <w:szCs w:val="15"/>
                <w:u w:val="none"/>
              </w:rPr>
              <w:suppressLineNumbers w:val="0"/>
            </w:pPr>
            <w:r>
              <w:rPr>
                <w:rFonts w:hint="eastAsia" w:ascii="微软雅黑" w:hAnsi="微软雅黑" w:eastAsia="微软雅黑" w:cs="微软雅黑"/>
                <w:i w:val="0"/>
                <w:iCs w:val="0"/>
                <w:color w:val="000000"/>
                <w:sz w:val="15"/>
                <w:szCs w:val="15"/>
                <w:u w:val="none"/>
                <w:lang w:val="en-US" w:eastAsia="zh-CN" w:bidi="ar"/>
              </w:rPr>
              <w:t xml:space="preserve">30/30/30</w:t>
            </w:r>
            <w:r/>
          </w:p>
        </w:tc>
      </w:tr>
    </w:tbl>
    <w:p>
      <w:pPr>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lang w:val="en-US" w:eastAsia="zh-CN"/>
        </w:rPr>
        <w:br w:type="page" w:clear="all"/>
      </w:r>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提供的《残疾人福利性单位声明函》与事实不符的，依照《政府采购法》第七十七条第一款的规定追究法律责任。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822"/>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bookmarkEnd w:id="28"/>
      <w:r/>
      <w:r/>
    </w:p>
    <w:p>
      <w:pPr>
        <w:jc w:val="center"/>
        <w:spacing w:line="360" w:lineRule="auto"/>
        <w:rPr>
          <w:rFonts w:hint="eastAsia" w:ascii="Times New Roman" w:hAnsi="宋体" w:eastAsia="宋体" w:cs="宋体"/>
          <w:b/>
          <w:bCs/>
          <w:sz w:val="32"/>
          <w:szCs w:val="32"/>
          <w:highlight w:val="none"/>
          <w:lang w:val="en-US" w:eastAsia="zh-CN"/>
        </w:rPr>
        <w:outlineLvl w:val="0"/>
      </w:pPr>
      <w:r/>
      <w:bookmarkStart w:id="29" w:name="_Toc21985"/>
      <w:r/>
      <w:bookmarkStart w:id="30" w:name="_Toc12214"/>
      <w:r/>
      <w:bookmarkStart w:id="31" w:name="_Toc4709"/>
      <w:r/>
      <w:bookmarkStart w:id="32" w:name="_Toc17918"/>
      <w:r/>
      <w:r/>
    </w:p>
    <w:p>
      <w:pPr>
        <w:jc w:val="both"/>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r>
      <w:r/>
    </w:p>
    <w:p>
      <w:pPr>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四、合同书（格式文本）</w:t>
      </w:r>
      <w:bookmarkEnd w:id="29"/>
      <w:r/>
      <w:bookmarkEnd w:id="30"/>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三</w:t>
      </w:r>
      <w:r>
        <w:rPr>
          <w:rFonts w:hint="eastAsia" w:ascii="宋体" w:hAnsi="宋体" w:eastAsia="宋体" w:cs="Times New Roman"/>
          <w:b w:val="0"/>
          <w:bCs/>
          <w:color w:val="000000"/>
          <w:sz w:val="24"/>
          <w:szCs w:val="24"/>
          <w:highlight w:val="none"/>
          <w:u w:val="none"/>
        </w:rPr>
        <w:t xml:space="preserve">、采购内容：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479" w:firstLine="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四</w:t>
      </w:r>
      <w:r>
        <w:rPr>
          <w:rFonts w:hint="eastAsia" w:ascii="宋体" w:hAnsi="宋体" w:eastAsia="宋体" w:cs="Times New Roman"/>
          <w:b w:val="0"/>
          <w:bCs/>
          <w:color w:val="000000"/>
          <w:sz w:val="24"/>
          <w:szCs w:val="24"/>
          <w:highlight w:val="none"/>
          <w:u w:val="none"/>
        </w:rPr>
        <w:t xml:space="preserve">、中标总金额：人民币（大写）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p>
    <w:p>
      <w:pPr>
        <w:ind w:left="479" w:firstLine="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五</w:t>
      </w:r>
      <w:r>
        <w:rPr>
          <w:rFonts w:hint="eastAsia" w:ascii="宋体" w:hAnsi="宋体" w:eastAsia="宋体" w:cs="Times New Roman"/>
          <w:b w:val="0"/>
          <w:bCs/>
          <w:color w:val="000000"/>
          <w:sz w:val="24"/>
          <w:szCs w:val="24"/>
          <w:highlight w:val="none"/>
          <w:u w:val="none"/>
        </w:rPr>
        <w:t xml:space="preserve">、质量和服务要求及验收标准：</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六</w:t>
      </w:r>
      <w:r>
        <w:rPr>
          <w:rFonts w:hint="eastAsia" w:ascii="宋体" w:hAnsi="宋体" w:eastAsia="宋体" w:cs="Times New Roman"/>
          <w:b w:val="0"/>
          <w:bCs/>
          <w:color w:val="000000"/>
          <w:sz w:val="24"/>
          <w:szCs w:val="24"/>
          <w:highlight w:val="none"/>
          <w:u w:val="none"/>
        </w:rPr>
        <w:t xml:space="preserve">、交货期限和服务期限：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七</w:t>
      </w:r>
      <w:r>
        <w:rPr>
          <w:rFonts w:hint="eastAsia" w:ascii="宋体" w:hAnsi="宋体" w:eastAsia="宋体" w:cs="Times New Roman"/>
          <w:b w:val="0"/>
          <w:bCs/>
          <w:color w:val="000000"/>
          <w:sz w:val="24"/>
          <w:szCs w:val="24"/>
          <w:highlight w:val="none"/>
          <w:u w:val="none"/>
        </w:rPr>
        <w:t xml:space="preserve">、服务地点和方式：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八</w:t>
      </w:r>
      <w:r>
        <w:rPr>
          <w:rFonts w:hint="eastAsia" w:ascii="宋体" w:hAnsi="宋体" w:eastAsia="宋体" w:cs="Times New Roman"/>
          <w:b w:val="0"/>
          <w:bCs/>
          <w:color w:val="000000"/>
          <w:sz w:val="24"/>
          <w:szCs w:val="24"/>
          <w:highlight w:val="none"/>
          <w:u w:val="none"/>
        </w:rPr>
        <w:t xml:space="preserve">、货款支付步骤和办法：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九</w:t>
      </w:r>
      <w:r>
        <w:rPr>
          <w:rFonts w:hint="eastAsia" w:ascii="宋体" w:hAnsi="宋体" w:eastAsia="宋体" w:cs="Times New Roman"/>
          <w:b w:val="0"/>
          <w:bCs/>
          <w:color w:val="000000"/>
          <w:sz w:val="24"/>
          <w:szCs w:val="24"/>
          <w:highlight w:val="none"/>
          <w:u w:val="none"/>
        </w:rPr>
        <w:t xml:space="preserve">、违约责任：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十</w:t>
      </w:r>
      <w:r>
        <w:rPr>
          <w:rFonts w:hint="eastAsia" w:ascii="宋体" w:hAnsi="宋体" w:eastAsia="宋体" w:cs="Times New Roman"/>
          <w:b w:val="0"/>
          <w:bCs/>
          <w:color w:val="000000"/>
          <w:sz w:val="24"/>
          <w:szCs w:val="24"/>
          <w:highlight w:val="none"/>
          <w:u w:val="none"/>
        </w:rPr>
        <w:t xml:space="preserve">、解决争议的方式：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val="en-US" w:eastAsia="zh-CN"/>
        </w:rPr>
        <w:t xml:space="preserve">一</w:t>
      </w:r>
      <w:r>
        <w:rPr>
          <w:rFonts w:hint="eastAsia" w:ascii="宋体" w:hAnsi="宋体" w:eastAsia="宋体" w:cs="Times New Roman"/>
          <w:b w:val="0"/>
          <w:bCs/>
          <w:color w:val="000000"/>
          <w:sz w:val="24"/>
          <w:szCs w:val="24"/>
          <w:highlight w:val="none"/>
          <w:u w:val="none"/>
        </w:rPr>
        <w:t xml:space="preserve">、</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w:t>
      </w:r>
      <w:r>
        <w:rPr>
          <w:rFonts w:hint="eastAsia" w:hAnsi="宋体" w:cs="宋体"/>
          <w:bCs/>
          <w:sz w:val="24"/>
          <w:highlight w:val="none"/>
          <w:lang w:val="en-US" w:eastAsia="zh-CN"/>
        </w:rPr>
        <w:t xml:space="preserve">二</w:t>
      </w:r>
      <w:r>
        <w:rPr>
          <w:rFonts w:hint="eastAsia" w:hAnsi="宋体" w:cs="宋体"/>
          <w:bCs/>
          <w:sz w:val="24"/>
          <w:highlight w:val="none"/>
        </w:rPr>
        <w:t xml:space="preserve">、合同不可分割部分：</w:t>
      </w:r>
      <w:r/>
    </w:p>
    <w:p>
      <w:pPr>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招标文件、投标文件、合同条款及中标通知书，乙方在投标、评标过程中所作其它有关承诺、声明、书面澄清等均为合同不可分割的部分，与主合同具有同等法律效力。</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三</w:t>
      </w:r>
      <w:r>
        <w:rPr>
          <w:rFonts w:hint="eastAsia" w:ascii="Times New Roman" w:hAnsi="宋体" w:eastAsia="宋体" w:cs="宋体"/>
          <w:bCs/>
          <w:sz w:val="24"/>
          <w:highlight w:val="none"/>
        </w:rPr>
        <w:t xml:space="preserve">、合同备案：</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合同一式伍份，甲乙双方各执贰份，采购代理机构壹份。</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四</w:t>
      </w:r>
      <w:r>
        <w:rPr>
          <w:rFonts w:hint="eastAsia" w:ascii="Times New Roman" w:hAnsi="宋体" w:eastAsia="宋体" w:cs="宋体"/>
          <w:bCs/>
          <w:sz w:val="24"/>
          <w:highlight w:val="none"/>
        </w:rPr>
        <w:t xml:space="preserve">、合同生效：</w:t>
      </w:r>
      <w:r/>
    </w:p>
    <w:p>
      <w:pPr>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cs="Times New Roman"/>
          <w:b/>
          <w:bCs w:val="0"/>
          <w:color w:val="000000"/>
          <w:sz w:val="24"/>
          <w:szCs w:val="24"/>
          <w:highlight w:val="none"/>
          <w:u w:val="none"/>
          <w:lang w:eastAsia="zh-CN"/>
        </w:rPr>
        <w:t xml:space="preserve">江苏成建项目管理有限公司</w:t>
      </w:r>
      <w:r>
        <w:rPr>
          <w:rFonts w:hint="eastAsia" w:ascii="宋体" w:hAnsi="宋体" w:eastAsia="宋体" w:cs="Times New Roman"/>
          <w:b w:val="0"/>
          <w:bCs/>
          <w:color w:val="000000"/>
          <w:sz w:val="24"/>
          <w:szCs w:val="24"/>
          <w:highlight w:val="none"/>
          <w:u w:val="none"/>
        </w:rPr>
        <w:t xml:space="preserve">见证后生效。</w:t>
      </w:r>
      <w:r/>
    </w:p>
    <w:p>
      <w:pPr>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p>
    <w:p>
      <w:pPr>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p>
    <w:p>
      <w:pPr>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p>
    <w:p>
      <w:pPr>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jc w:val="center"/>
        <w:spacing w:line="360" w:lineRule="auto"/>
        <w:rPr>
          <w:rFonts w:hint="eastAsia" w:ascii="Times New Roman" w:hAnsi="宋体" w:eastAsia="宋体" w:cs="宋体"/>
          <w:b/>
          <w:bCs/>
          <w:sz w:val="32"/>
          <w:szCs w:val="32"/>
          <w:highlight w:val="none"/>
          <w:lang w:val="en-US" w:eastAsia="zh-CN"/>
        </w:rPr>
        <w:outlineLvl w:val="0"/>
      </w:pPr>
      <w:r/>
      <w:bookmarkStart w:id="33" w:name="_Toc5730"/>
      <w:r>
        <w:rPr>
          <w:rFonts w:hint="eastAsia" w:ascii="Times New Roman" w:hAnsi="宋体" w:eastAsia="宋体" w:cs="宋体"/>
          <w:b/>
          <w:bCs/>
          <w:sz w:val="32"/>
          <w:szCs w:val="32"/>
          <w:highlight w:val="none"/>
          <w:lang w:val="en-US" w:eastAsia="zh-CN"/>
        </w:rPr>
        <w:t xml:space="preserve">合同条款（格式）</w:t>
      </w:r>
      <w:r/>
    </w:p>
    <w:p>
      <w:pPr>
        <w:jc w:val="center"/>
        <w:spacing w:line="360" w:lineRule="auto"/>
        <w:rPr>
          <w:rFonts w:hint="eastAsia" w:ascii="宋体" w:hAnsi="宋体" w:eastAsia="宋体" w:cs="宋体"/>
          <w:b/>
          <w:bCs/>
          <w:sz w:val="24"/>
          <w:highlight w:val="none"/>
        </w:rPr>
        <w:outlineLvl w:val="0"/>
      </w:pPr>
      <w:r>
        <w:rPr>
          <w:rFonts w:hint="eastAsia" w:ascii="宋体" w:hAnsi="宋体" w:eastAsia="宋体" w:cs="宋体"/>
          <w:b/>
          <w:bCs/>
          <w:sz w:val="44"/>
          <w:szCs w:val="44"/>
          <w:highlight w:val="none"/>
        </w:rPr>
        <w:t xml:space="preserve">电梯综合保险承保合作协议</w:t>
      </w:r>
      <w:r/>
    </w:p>
    <w:p>
      <w:pPr>
        <w:ind w:left="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p>
      <w:pPr>
        <w:ind w:left="0"/>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甲方（投保人）：</w:t>
      </w:r>
      <w:r/>
    </w:p>
    <w:p>
      <w:pPr>
        <w:ind w:left="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地址：</w:t>
      </w:r>
      <w:r/>
    </w:p>
    <w:p>
      <w:pPr>
        <w:pStyle w:val="1889"/>
        <w:ind w:left="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乙方：（保险人）：</w:t>
      </w:r>
      <w:r/>
    </w:p>
    <w:p>
      <w:pPr>
        <w:ind w:left="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地址：</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w:t>
      </w:r>
      <w:r>
        <w:rPr>
          <w:rFonts w:hint="eastAsia" w:ascii="宋体" w:hAnsi="宋体" w:eastAsia="宋体" w:cs="宋体"/>
          <w:sz w:val="24"/>
          <w:szCs w:val="24"/>
          <w:highlight w:val="none"/>
          <w:lang w:eastAsia="en-US"/>
        </w:rPr>
        <w:t xml:space="preserve">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特种设备安全监察条例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无锡市电梯安全管理条例》，以及</w:t>
      </w:r>
      <w:r>
        <w:rPr>
          <w:rFonts w:hint="eastAsia" w:ascii="宋体" w:hAnsi="宋体" w:eastAsia="宋体" w:cs="宋体"/>
          <w:sz w:val="24"/>
          <w:szCs w:val="24"/>
          <w:highlight w:val="none"/>
        </w:rPr>
        <w:t xml:space="preserve">《物业管理条例》等有关规定，遵循平等、自愿、公平和诚实信用的原则，甲乙双方就</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none"/>
          <w:lang w:eastAsia="en-US"/>
        </w:rPr>
        <w:t xml:space="preserve">项目</w:t>
      </w:r>
      <w:r>
        <w:rPr>
          <w:rFonts w:hint="eastAsia" w:ascii="宋体" w:hAnsi="宋体" w:eastAsia="宋体" w:cs="宋体"/>
          <w:sz w:val="24"/>
          <w:szCs w:val="24"/>
          <w:highlight w:val="none"/>
        </w:rPr>
        <w:t xml:space="preserve">事宜协商一致，达成如下合同条款：</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rPr>
          <w:rFonts w:hint="eastAsia" w:ascii="宋体" w:hAnsi="宋体" w:eastAsia="宋体" w:cs="宋体"/>
          <w:b/>
          <w:bCs/>
          <w:sz w:val="24"/>
          <w:szCs w:val="24"/>
          <w:highlight w:val="none"/>
          <w:lang w:eastAsia="en-US"/>
        </w:rPr>
        <w:outlineLvl w:val="0"/>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eastAsia="en-US"/>
        </w:rPr>
        <w:t xml:space="preserve">保险方案：</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）投保人</w:t>
      </w:r>
      <w:r>
        <w:rPr>
          <w:rFonts w:hint="eastAsia" w:ascii="宋体" w:hAnsi="宋体" w:eastAsia="宋体" w:cs="宋体"/>
          <w:b/>
          <w:bCs/>
          <w:sz w:val="24"/>
          <w:szCs w:val="24"/>
          <w:highlight w:val="none"/>
          <w:lang w:eastAsia="en-US"/>
        </w:rPr>
        <w:t xml:space="preserve">：</w:t>
      </w:r>
      <w:r/>
    </w:p>
    <w:p>
      <w:pPr>
        <w:ind w:left="0" w:firstLine="480"/>
        <w:keepLines w:val="0"/>
        <w:keepNext w:val="0"/>
        <w:pageBreakBefore w:val="0"/>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）被保险人</w:t>
      </w:r>
      <w:r>
        <w:rPr>
          <w:rFonts w:hint="eastAsia" w:ascii="宋体" w:hAnsi="宋体" w:eastAsia="宋体" w:cs="宋体"/>
          <w:b/>
          <w:bCs/>
          <w:sz w:val="24"/>
          <w:szCs w:val="24"/>
          <w:highlight w:val="none"/>
          <w:lang w:eastAsia="en-US"/>
        </w:rPr>
        <w:t xml:space="preserve">：</w:t>
      </w:r>
      <w:r/>
    </w:p>
    <w:p>
      <w:pPr>
        <w:ind w:left="0"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eastAsia="en-US"/>
        </w:rPr>
        <w:t xml:space="preserve">）保险范围</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第一部分：电梯第三者责任保障</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对应《</w:t>
      </w:r>
      <w:r>
        <w:rPr>
          <w:rFonts w:hint="eastAsia" w:ascii="宋体" w:hAnsi="宋体" w:eastAsia="宋体" w:cs="宋体"/>
          <w:sz w:val="24"/>
          <w:szCs w:val="24"/>
          <w:highlight w:val="none"/>
          <w:lang w:val="en-US" w:eastAsia="zh-CN"/>
        </w:rPr>
        <w:t xml:space="preserve">保险公司</w:t>
      </w:r>
      <w:r>
        <w:rPr>
          <w:rFonts w:hint="eastAsia" w:ascii="宋体" w:hAnsi="宋体" w:eastAsia="宋体" w:cs="宋体"/>
          <w:sz w:val="24"/>
          <w:szCs w:val="24"/>
          <w:highlight w:val="none"/>
        </w:rPr>
        <w:t xml:space="preserve">电梯责任保险条款》</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（1）人身伤亡或财产损失赔偿：因电梯发生意外事故，造成乘梯人员人身伤亡或财产损失，保险人按照保险合同约定负责赔偿。</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（2）人员滞留赔偿：因电梯发生意外事故，虽未造成人身伤亡但导致乘梯人员在电梯内滞留超过约定时间，保险人按照保险合同约定赔偿标准给予赔偿。</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第二部分：电梯养护费用保险</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维保+维修费用：按照电梯管理的相关规定，保险人承担日常维护保养费用、意外事故导致的电梯故障产生的维修费用，包括零配件费用和人工费、现场安装调试达到正常可使用状态产生的费用。</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第三部分：专业技术服务</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组织电梯安全运营专业管理技术力量，委托专业机构提供电梯安全专业技术服务。建立电梯使用日常巡查制度，加强电梯日常运行安全管理；建立电梯维保质量巡查制度，推动维保单位提高电梯维修质量；负责电梯风险管理和事故隐患排查，促进双重预防体系运行；开展“老旧电梯”安全评估，及时消除电梯安全隐患；建立电梯严重隐患向市场监管部门告知制度；每年度按片区应组织相应电梯事故应急急救处置、应急演练不少于2次；每年组织电梯安全知识宣传、教育和培训等服务不少于2次。</w:t>
      </w:r>
      <w:r/>
    </w:p>
    <w:p>
      <w:pPr>
        <w:ind w:left="0" w:firstLine="480"/>
        <w:keepLines w:val="0"/>
        <w:keepNext w:val="0"/>
        <w:pageBreakBefore w:val="0"/>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en-US"/>
        </w:rPr>
        <w:t xml:space="preserve">）赔偿限额：</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第一部分：电梯第三者责任保障</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（1）第三者责任：</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每梯每次累计事故赔偿限额1000万元</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（含人身伤亡或财产损失）；</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每人每次事故死亡及伤残赔偿限额100万元</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（其中含每人每次事故医疗费用赔偿限额10万元）；</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每次事故财产损失赔偿限额3万元。</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第二部分：电梯维保+维修费用</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每台电梯累计责任限额10万元</w:t>
      </w:r>
      <w:r>
        <w:rPr>
          <w:rFonts w:hint="eastAsia" w:ascii="宋体" w:hAnsi="宋体" w:cs="宋体"/>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eastAsia="en-US"/>
        </w:rPr>
        <w:t xml:space="preserve">）协议期限</w:t>
      </w:r>
      <w:r/>
    </w:p>
    <w:p>
      <w:pPr>
        <w:ind w:left="0" w:firstLine="480"/>
        <w:keepLines w:val="0"/>
        <w:keepNext w:val="0"/>
        <w:pageBreakBefore w:val="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共</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个月，自202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日零时起，至202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日二十四时止。</w:t>
      </w:r>
      <w:r/>
    </w:p>
    <w:p>
      <w:pPr>
        <w:ind w:left="0" w:firstLine="480"/>
        <w:keepLines w:val="0"/>
        <w:keepNext w:val="0"/>
        <w:pageBreakBefore w:val="0"/>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eastAsia="en-US"/>
        </w:rPr>
        <w:t xml:space="preserve">）特别约定</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1、本保单承保区域：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eastAsia="en-US"/>
        </w:rPr>
        <w:t xml:space="preserve">项目</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en-US"/>
        </w:rPr>
        <w:t xml:space="preserve">  </w:t>
      </w:r>
      <w:r>
        <w:rPr>
          <w:rFonts w:hint="eastAsia" w:ascii="宋体" w:hAnsi="宋体" w:eastAsia="宋体" w:cs="宋体"/>
          <w:sz w:val="24"/>
          <w:szCs w:val="24"/>
          <w:highlight w:val="none"/>
        </w:rPr>
        <w:t xml:space="preserve">台电梯（详见清单）</w:t>
      </w:r>
      <w:r/>
    </w:p>
    <w:p>
      <w:p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、承保电梯品牌、型号详见清单。</w:t>
      </w:r>
      <w:r/>
    </w:p>
    <w:p>
      <w:pPr>
        <w:keepLines w:val="0"/>
        <w:keepNext w:val="0"/>
        <w:pageBreakBefore w:val="0"/>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en-US"/>
        </w:rPr>
        <w:t xml:space="preserve">二</w:t>
      </w:r>
      <w:r>
        <w:rPr>
          <w:rFonts w:hint="eastAsia" w:ascii="宋体" w:hAnsi="宋体" w:eastAsia="宋体" w:cs="宋体"/>
          <w:b/>
          <w:bCs/>
          <w:sz w:val="24"/>
          <w:szCs w:val="24"/>
          <w:highlight w:val="none"/>
        </w:rPr>
        <w:t xml:space="preserve">、保费的金额与支付：</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w:t>
      </w:r>
      <w:r>
        <w:rPr>
          <w:rFonts w:hint="eastAsia" w:ascii="宋体" w:hAnsi="宋体" w:eastAsia="宋体" w:cs="宋体"/>
          <w:sz w:val="24"/>
          <w:szCs w:val="24"/>
          <w:highlight w:val="none"/>
          <w:lang w:eastAsia="en-US"/>
        </w:rPr>
        <w:t xml:space="preserve">按照招标</w:t>
      </w:r>
      <w:r>
        <w:rPr>
          <w:rFonts w:hint="eastAsia" w:ascii="宋体" w:hAnsi="宋体" w:eastAsia="宋体" w:cs="宋体"/>
          <w:sz w:val="24"/>
          <w:szCs w:val="24"/>
          <w:highlight w:val="none"/>
        </w:rPr>
        <w:t xml:space="preserve">约定的年度保费总额为人民币：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合计人民币：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支付方式</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1、投保人于合同签订并生效后</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个工作日内将首批实际投保电梯的年度总保费的50%划支付给保险人。承保人在收到保费后，出具全年保单。在项目正常运营六个月后，在</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个工作日内投保人将年度总保费的30%支付给保险人。剩余20%的年度保费在年度项目结束后</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个工作日内支付给保险人。</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保险人</w:t>
      </w:r>
      <w:r>
        <w:rPr>
          <w:rFonts w:hint="eastAsia" w:ascii="宋体" w:hAnsi="宋体" w:eastAsia="宋体" w:cs="宋体"/>
          <w:sz w:val="24"/>
          <w:szCs w:val="24"/>
          <w:highlight w:val="none"/>
          <w:lang w:val="en-US" w:eastAsia="zh-CN"/>
        </w:rPr>
        <w:t xml:space="preserve">在接到每年付款后，出具保险范围内的全年保单。保单内容不得实质性违背本项目招投标文件及合同约定。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3.因维护不当等原因造成的各类行政处罚费用均由中标单位承担。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年度保费通过银行转账方式支付，乙方的账户信息如下：</w:t>
      </w:r>
      <w:r/>
    </w:p>
    <w:tbl>
      <w:tblPr>
        <w:tblStyle w:val="1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top"/>
            <w:textDirection w:val="lrTb"/>
            <w:noWrap w:val="false"/>
          </w:tcPr>
          <w:p>
            <w:pPr>
              <w:ind w:left="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单位名称</w:t>
            </w:r>
            <w:r>
              <w:rPr>
                <w:rFonts w:hint="eastAsia" w:ascii="宋体" w:hAnsi="宋体" w:eastAsia="宋体" w:cs="宋体"/>
                <w:sz w:val="24"/>
                <w:szCs w:val="24"/>
                <w:highlight w:val="none"/>
              </w:rPr>
              <w:t xml:space="preserve">：</w:t>
            </w:r>
            <w:r/>
          </w:p>
        </w:tc>
      </w:tr>
      <w:tr>
        <w:trPr>
          <w:jc w:val="center"/>
        </w:trPr>
        <w:tc>
          <w:tcPr>
            <w:tcW w:w="8522" w:type="dxa"/>
            <w:vAlign w:val="top"/>
            <w:textDirection w:val="lrTb"/>
            <w:noWrap w:val="false"/>
          </w:tcPr>
          <w:p>
            <w:pPr>
              <w:ind w:left="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纳税人识别号：</w:t>
            </w:r>
            <w:r/>
          </w:p>
        </w:tc>
      </w:tr>
      <w:tr>
        <w:trPr>
          <w:jc w:val="center"/>
        </w:trPr>
        <w:tc>
          <w:tcPr>
            <w:tcW w:w="8522" w:type="dxa"/>
            <w:vAlign w:val="top"/>
            <w:textDirection w:val="lrTb"/>
            <w:noWrap w:val="false"/>
          </w:tcPr>
          <w:p>
            <w:pPr>
              <w:ind w:left="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开户银行：</w:t>
            </w:r>
            <w:r/>
          </w:p>
        </w:tc>
      </w:tr>
      <w:tr>
        <w:trPr>
          <w:jc w:val="center"/>
        </w:trPr>
        <w:tc>
          <w:tcPr>
            <w:tcW w:w="8522" w:type="dxa"/>
            <w:vAlign w:val="top"/>
            <w:textDirection w:val="lrTb"/>
            <w:noWrap w:val="false"/>
          </w:tcPr>
          <w:p>
            <w:pPr>
              <w:ind w:left="0"/>
              <w:jc w:val="both"/>
              <w:keepLines w:val="0"/>
              <w:keepNext w:val="0"/>
              <w:pageBreakBefore w:val="0"/>
              <w:spacing w:line="360" w:lineRule="auto"/>
              <w:widowControl w:val="off"/>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银行账号：</w:t>
            </w:r>
            <w:r/>
          </w:p>
        </w:tc>
      </w:tr>
    </w:tbl>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en-US"/>
        </w:rPr>
        <w:t xml:space="preserve">甲方的开票信息如下：</w:t>
      </w:r>
      <w:r/>
    </w:p>
    <w:tbl>
      <w:tblPr>
        <w:tblStyle w:val="1635"/>
        <w:tblW w:w="8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jc w:val="center"/>
          <w:trHeight w:val="468"/>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单位名称：</w:t>
            </w:r>
            <w:r/>
          </w:p>
        </w:tc>
      </w:tr>
      <w:tr>
        <w:trPr>
          <w:jc w:val="center"/>
          <w:trHeight w:val="467"/>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纳税人识别号：</w:t>
            </w:r>
            <w:r/>
          </w:p>
        </w:tc>
      </w:tr>
      <w:tr>
        <w:trPr>
          <w:jc w:val="center"/>
          <w:trHeight w:val="467"/>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开户银行：</w:t>
            </w:r>
            <w:r/>
          </w:p>
        </w:tc>
      </w:tr>
      <w:tr>
        <w:trPr>
          <w:jc w:val="center"/>
          <w:trHeight w:val="467"/>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银行账号：</w:t>
            </w:r>
            <w:r/>
          </w:p>
        </w:tc>
      </w:tr>
      <w:tr>
        <w:trPr>
          <w:jc w:val="center"/>
          <w:trHeight w:val="466"/>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单位地址：</w:t>
            </w:r>
            <w:r/>
          </w:p>
        </w:tc>
      </w:tr>
      <w:tr>
        <w:trPr>
          <w:jc w:val="center"/>
          <w:trHeight w:val="466"/>
        </w:trPr>
        <w:tc>
          <w:tcPr>
            <w:tcW w:w="8498" w:type="dxa"/>
            <w:vAlign w:val="center"/>
            <w:textDirection w:val="lrTb"/>
            <w:noWrap w:val="false"/>
          </w:tcPr>
          <w:p>
            <w:pPr>
              <w:ind w:left="0"/>
              <w:keepLines w:val="0"/>
              <w:keepNext w:val="0"/>
              <w:pageBreakBefore w:val="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电话号码：</w:t>
            </w:r>
            <w:r/>
          </w:p>
        </w:tc>
      </w:tr>
    </w:tbl>
    <w:p>
      <w:pPr>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en-US"/>
        </w:rPr>
        <w:t xml:space="preserve">三</w:t>
      </w:r>
      <w:r>
        <w:rPr>
          <w:rFonts w:hint="eastAsia" w:ascii="宋体" w:hAnsi="宋体" w:eastAsia="宋体" w:cs="宋体"/>
          <w:b/>
          <w:bCs/>
          <w:sz w:val="24"/>
          <w:szCs w:val="24"/>
          <w:highlight w:val="none"/>
        </w:rPr>
        <w:t xml:space="preserve">、甲方的权利和义务</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、甲方应为乙方员工提供出入机房、大堂、层门和设备所在区域的通行条件。</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甲方根据实际情况安排配合乙方进行轿顶、门操作板、轿门和厅门的地坎、门楣、井道、底坑和机房的清洁工作。如电梯底坑遇水淹时，应及时排除并采取措施预防漏水或渗水。在甲方需要时，乙方应给予技术指导。</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、甲方有权利和义务对乙方的日常保养工作进行监督，对乙方工作质量进行评估。</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甲方有权监督检查乙方依照合同约定实施维护保养计划的情况，监督经乙方维护保养后的电梯是否符合法律法规、安全技术规范、强制性标准和制造单位安装使用维护说明书要求，监督电梯安全性能是否符合规定要求。</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、甲方有权要求乙方人员服从本单位现场安全管理，有权要求乙方更换不服从现场安全管理的人员</w:t>
      </w:r>
      <w:r>
        <w:rPr>
          <w:rFonts w:hint="eastAsia" w:ascii="宋体" w:hAnsi="宋体" w:eastAsia="宋体" w:cs="宋体"/>
          <w:sz w:val="24"/>
          <w:szCs w:val="24"/>
          <w:highlight w:val="none"/>
          <w:lang w:eastAsia="zh-CN"/>
        </w:rPr>
        <w:t xml:space="preserve">。</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依法建立电梯安全管理机构、制度，确保安全管理和作业人员、制度、资金落实到位。配备持有电梯安全管理资格证件的人员负责电梯日常安全管理，并在更换电梯管理人员时及时通知乙方。督促电梯安全管理人员开展电梯的日常检查和每月检查工作，并严格保管电梯相关钥匙。</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、督促电梯安全管理人员现场监督检查的电梯保养工作过程和结果，对的维护保养记录签字确认，甲方安全管理授权签字人员为：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，如果更换授权签字人，甲方应提前书面通知乙方。</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电梯发生故障或异常情况时应当立即停止使用，并做好相关安全防护措施。电梯日常使用期间，确保值班人员可靠接收求救电话、警铃装置发出的求救信号，及时通知乙方抢修，并做好详细记录。接到乙方安全隐患告知后，及时落实安全防护措施和整改措施。严禁未持有电梯安全员证的人员自行对被困乘客进行救援。</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、制订电梯专项应急救援预案（包括电梯人身伤害事故、困人、故障、火灾、水浸等），至少每年组织一次应急演练，确保应急救援体系运行有效。</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保证电梯供电、消防、防雷、通风、降温等系统安全可靠，满足国家标准规定。为乙方提供维护保养所需的工作环境。保证机房上锁，井道、底坑无漏水、渗水现象。通往机房、底坑、滑轮间、井道安全门的通道畅通、照明充分；确保作业环境中应由甲方提供的安全防护措施到位，防止无关人员进入。</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、采取有效措施监控电梯使用情况，积极主动开展文明乘梯宣传活动，及时制止乘客不文明乘梯行为或恶意破坏电梯的行为。</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、在电梯使用标志所标注的下次检验日期届满前１个月，向特种设备检验机构提出定期检验申请。</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、电梯因不可抗力因素（如战争、火灾、水灾、风暴和地震等）所造成设备损坏、丢失的，由甲方自行承担全部责任。</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、甲方应按照《电梯维护保养规则》TSG T5002-2017的要求逐台建立电梯安全技术档案，并提供给乙方查询。在签订合同时应向乙方提供如下资料或复印件：</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《特种设备使用注册登记表》；</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设备及其零部件、安全保护装置的出厂随机技术文件、电气敷设图；</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安装、改造、重大维修的有关技术资料；</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日常检查与使用状况记录、维保记录、年度自行检查记录或者报告、应急救援演习记录；</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安装、改造、重大维修监督检验报告，上年度定期检验报告；</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设备运行故障与事故记录等。</w:t>
      </w:r>
      <w:r/>
    </w:p>
    <w:p>
      <w:pPr>
        <w:pStyle w:val="1889"/>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有效期限内的安全管理人员证书及操作人员证书（如采用司机操作的电梯，医院提供给患者使用的电梯，直接用于旅游观光的速度大于2.5m/s的电梯，应配备持证操作人员）。</w:t>
      </w:r>
      <w:r/>
    </w:p>
    <w:p>
      <w:pPr>
        <w:pStyle w:val="1889"/>
        <w:numPr>
          <w:ilvl w:val="0"/>
          <w:numId w:val="0"/>
        </w:num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未经乙方书面许可不得允许非</w:t>
      </w:r>
      <w:r>
        <w:rPr>
          <w:rFonts w:hint="eastAsia" w:ascii="宋体" w:hAnsi="宋体" w:eastAsia="宋体" w:cs="宋体"/>
          <w:sz w:val="24"/>
          <w:szCs w:val="24"/>
          <w:highlight w:val="none"/>
          <w:lang w:val="en-US" w:eastAsia="zh-CN"/>
        </w:rPr>
        <w:t xml:space="preserve">维保公司</w:t>
      </w:r>
      <w:r>
        <w:rPr>
          <w:rFonts w:hint="eastAsia" w:ascii="宋体" w:hAnsi="宋体" w:eastAsia="宋体" w:cs="宋体"/>
          <w:sz w:val="24"/>
          <w:szCs w:val="24"/>
          <w:highlight w:val="none"/>
        </w:rPr>
        <w:t xml:space="preserve">人员从事与电梯维护保养有关的作业。</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en-US"/>
        </w:rPr>
        <w:t xml:space="preserve">四、</w:t>
      </w:r>
      <w:r>
        <w:rPr>
          <w:rFonts w:hint="eastAsia" w:ascii="宋体" w:hAnsi="宋体" w:eastAsia="宋体" w:cs="宋体"/>
          <w:b/>
          <w:bCs/>
          <w:sz w:val="24"/>
          <w:szCs w:val="24"/>
          <w:highlight w:val="none"/>
        </w:rPr>
        <w:t xml:space="preserve">乙方的权利和义务</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1．为保障被保险人的利益，提高工作效率，乙方须组建电梯服务团队，为本项目进行专项服务，做好保险相关服务和解释工作。</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2．乙方在电梯发生故障需要维修时，按照保险合同约定和本承诺书内容，第一时间响应，督促电梯维保维修机构按照维修方案进行维修，并及时赔付维修费用，保障电梯尽快恢复安全正常运行。</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3．乙方为甲方搭建电梯风险管理平台，通过专业技术团队，对甲方电梯运行情况进行安全监控、数据分析、风险预警，提供维保监督、维修报案、维修方案审核和理赔等功能，保障电梯维保质量与维修时效。</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4．乙方和维保单位有义务为甲方单位提供24小时电梯维修服务。</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5．乙方有义务提供出险告知服务，对于电梯因故障需要维修的，承诺做好出险告知服务，同时定期对电梯承保后的维修、维保情况予以公示，以充分保障甲方知情权，方便甲方监督。</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6．乙方应对被保险人信息予以严格保密。除了根据法律法规应予披露的情况以外，乙方未经采购人书面许可，不得向其他任何社会组织或个人泄露与被保险人有关的资料和信息，否则将依法承担一切责任。</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7．乙方在合同履约过程中，不得有弄虚作假、徇私舞弊等行为发生，否则将按照有关法律法规依法追究法律责任。</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8．乙方有义务协助甲方制定电梯专项应急救援预案（包括电梯人身伤害事故、困人、故障、火灾、水浸等），至少每半年组织一次应急演练，确保应急救援体系运行有效。</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乙方有义务在电梯使用标志所标注的下次检验日期届满前１个月，督促维保单位向特种设备检验机构提出定期检验申请并由甲方承担相应检验费用。乙方需要配合保证电梯定期检验通过，如电梯年检延误或不通过，复检一切费用由维保单位承担。</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10．其他合法权利和义务。</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en-US"/>
        </w:rPr>
        <w:t xml:space="preserve">五</w:t>
      </w:r>
      <w:r>
        <w:rPr>
          <w:rFonts w:hint="eastAsia" w:ascii="宋体" w:hAnsi="宋体" w:eastAsia="宋体" w:cs="宋体"/>
          <w:b/>
          <w:bCs/>
          <w:sz w:val="24"/>
          <w:szCs w:val="24"/>
          <w:highlight w:val="none"/>
        </w:rPr>
        <w:t xml:space="preserve">、保密</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1．为保障被保险人的利益，提高工作效率，乙方须组建电梯服务团队，为本项目进行专项服务，做好保险相关服务和解释工作。</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2．乙方在电梯发生故障需要维修时，按照保险合同约定和本承诺书内容，第一时间响应，督促电梯维保维修机构按照维修方案进行维修，并及时赔付维修费用，保障电梯尽快恢复安全正常运行。</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3．乙方为甲方搭建电梯风险管理平台，通过专业技术团队，对甲方电梯运行情况进行安全监控、数据分析、风险预警，提供维保监督、维修报案、维修方案审核和理赔等功能，保障电梯维保质量与维修时效。</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4．乙方和维保单位有义务为甲方单位提供24小时电梯维修服务。</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5．乙方有义务提供出险告知服务，对于电梯因故障需要维修的，承诺做好出险告知服务，同时定期对电梯承保后的维修、维保情况予以公示，以充分保障甲方知情权，方便甲方监督。</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6．乙方应对被保险人信息予以严格保密。除了根据法律法规应予披露的情况以外，乙方未经采购人书面许可，不得向其他任何社会组织或个人泄露与被保险人有关的资料和信息，否则将依法承担一切责任。</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7．乙方在合同履约过程中，不得有弄虚作假、徇私舞弊等行为发生，否则将按照有关法律法规依法追究法律责任。</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8．乙方有义务协助甲方制定电梯专项应急救援预案（包括电梯人身伤害事故、困人、故障、火灾、水浸等），至少每半年组织一次应急演练，确保应急救援体系运行有效。</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乙方有义务在电梯使用标志所标注的下次检验日期届满前１个月，督促维保单位向特种设备检验机构提出定期检验申请并由甲方承担相应检验费用。乙方需要配合保证电梯定期检验通过，如电梯年检延误或不通过，复检一切费用由维保单位承担。</w:t>
      </w:r>
      <w:r/>
    </w:p>
    <w:p>
      <w:pPr>
        <w:pStyle w:val="1889"/>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10．其他合法权利和义务。</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en-US"/>
        </w:rPr>
        <w:t xml:space="preserve">六</w:t>
      </w:r>
      <w:r>
        <w:rPr>
          <w:rFonts w:hint="eastAsia" w:ascii="宋体" w:hAnsi="宋体" w:eastAsia="宋体" w:cs="宋体"/>
          <w:b/>
          <w:bCs/>
          <w:sz w:val="24"/>
          <w:szCs w:val="24"/>
          <w:highlight w:val="none"/>
        </w:rPr>
        <w:t xml:space="preserve">、违约责任</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1．合同一方不履行合同义务或者履行合同义务不符合约定的，应当承担继续履行、</w:t>
      </w:r>
      <w:r>
        <w:rPr>
          <w:rFonts w:hint="eastAsia" w:ascii="宋体" w:hAnsi="宋体" w:eastAsia="宋体" w:cs="宋体"/>
          <w:sz w:val="24"/>
          <w:szCs w:val="24"/>
          <w:highlight w:val="none"/>
          <w:lang w:eastAsia="zh-CN"/>
        </w:rPr>
        <w:t xml:space="preserve">采取</w:t>
      </w:r>
      <w:r>
        <w:rPr>
          <w:rFonts w:hint="eastAsia" w:ascii="宋体" w:hAnsi="宋体" w:eastAsia="宋体" w:cs="宋体"/>
          <w:sz w:val="24"/>
          <w:szCs w:val="24"/>
          <w:highlight w:val="none"/>
        </w:rPr>
        <w:t xml:space="preserve">补救措施或赔偿损失等违约责任。</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2．甲方违反合同规定，拒绝接收乙方提供的服务的，应当承担乙方由此造成的损失。</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3．乙方违反合同规定，拒绝为甲方</w:t>
      </w:r>
      <w:r>
        <w:rPr>
          <w:rFonts w:hint="eastAsia" w:ascii="宋体" w:hAnsi="宋体" w:eastAsia="宋体" w:cs="宋体"/>
          <w:sz w:val="24"/>
          <w:szCs w:val="24"/>
          <w:highlight w:val="none"/>
          <w:lang w:eastAsia="zh-CN"/>
        </w:rPr>
        <w:t xml:space="preserve">提供</w:t>
      </w:r>
      <w:r>
        <w:rPr>
          <w:rFonts w:hint="eastAsia" w:ascii="宋体" w:hAnsi="宋体" w:eastAsia="宋体" w:cs="宋体"/>
          <w:sz w:val="24"/>
          <w:szCs w:val="24"/>
          <w:highlight w:val="none"/>
        </w:rPr>
        <w:t xml:space="preserve">服务的，应当承担甲方由此造成的损失。</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4．如乙方不能按约定进行服务的，且违反约定达到或超过三次的，甲方有权解除合同。</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en-US"/>
        </w:rPr>
        <w:t xml:space="preserve">七、不可抗力</w:t>
      </w:r>
      <w:r/>
    </w:p>
    <w:p>
      <w:pPr>
        <w:pStyle w:val="182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bidi="ar-SA"/>
        </w:rPr>
        <w:t xml:space="preserve">因不可抗力致使不能履行合同的（包括导致延期履行），根据不可抗力的影响，免除相应的责任，但本合同另有规定的除外。</w:t>
      </w:r>
      <w:r/>
    </w:p>
    <w:p>
      <w:pPr>
        <w:pStyle w:val="182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bidi="ar-SA"/>
        </w:rPr>
        <w:t xml:space="preserve">本合同所称不可抗力指不可预见、不能避免并不能克服的客观情况，不可抗力包括战争、地震、动乱、空中飞行物体坠落或其他非合同双方责任造成的爆炸、火灾。</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en-US"/>
        </w:rPr>
        <w:t xml:space="preserve">八、合同修改</w:t>
      </w:r>
      <w:r/>
    </w:p>
    <w:p>
      <w:pPr>
        <w:ind w:lef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对于本合同的未尽事宜，需进行修改、补充的，甲乙双方必须就所修改的内容签订书面的合同修改书，作为本合同的补充协议。补充协议与本合同具有同等法律效力。</w:t>
      </w:r>
      <w:r/>
    </w:p>
    <w:p>
      <w:pPr>
        <w:ind w:left="0" w:firstLine="480"/>
        <w:keepLines w:val="0"/>
        <w:keepNext w:val="0"/>
        <w:pageBreakBefore w:val="0"/>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en-US"/>
        </w:rPr>
        <w:t xml:space="preserve">九</w:t>
      </w:r>
      <w:r>
        <w:rPr>
          <w:rFonts w:hint="eastAsia" w:ascii="宋体" w:hAnsi="宋体" w:eastAsia="宋体" w:cs="宋体"/>
          <w:b/>
          <w:bCs/>
          <w:sz w:val="24"/>
          <w:szCs w:val="24"/>
          <w:highlight w:val="none"/>
        </w:rPr>
        <w:t xml:space="preserve">、合同生效</w:t>
      </w:r>
      <w:r>
        <w:rPr>
          <w:rFonts w:hint="eastAsia" w:ascii="宋体" w:hAnsi="宋体" w:eastAsia="宋体" w:cs="宋体"/>
          <w:b/>
          <w:bCs/>
          <w:sz w:val="24"/>
          <w:szCs w:val="24"/>
          <w:highlight w:val="none"/>
          <w:lang w:eastAsia="zh-CN"/>
        </w:rPr>
        <w:t xml:space="preserve">及其他</w:t>
      </w:r>
      <w:r/>
    </w:p>
    <w:p>
      <w:pPr>
        <w:ind w:left="0"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1．甲乙双方代表签字加盖公章（或合同章）并经</w:t>
      </w:r>
      <w:r>
        <w:rPr>
          <w:rFonts w:hint="eastAsia" w:ascii="宋体" w:hAnsi="宋体" w:cs="宋体"/>
          <w:b w:val="0"/>
          <w:bCs/>
          <w:color w:val="000000"/>
          <w:sz w:val="24"/>
          <w:szCs w:val="24"/>
          <w:highlight w:val="none"/>
          <w:u w:val="none"/>
          <w:lang w:val="en-US" w:eastAsia="zh-CN"/>
        </w:rPr>
        <w:t xml:space="preserve">江苏成建项目管理有限公司</w:t>
      </w:r>
      <w:r>
        <w:rPr>
          <w:rFonts w:ascii="宋体" w:hAnsi="宋体" w:eastAsia="宋体" w:cs="宋体"/>
          <w:b w:val="0"/>
          <w:bCs/>
          <w:color w:val="000000"/>
          <w:sz w:val="24"/>
          <w:szCs w:val="24"/>
          <w:highlight w:val="none"/>
          <w:u w:val="none"/>
          <w:lang w:val="en-US" w:eastAsia="zh-CN"/>
        </w:rPr>
        <w:t xml:space="preserve">见证后生效。</w:t>
      </w:r>
      <w:r/>
    </w:p>
    <w:p>
      <w:pPr>
        <w:ind w:left="0"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2．合同签订后甲乙双方即直接产生权利与义务的关系，合同执行过程中出现的问题应按照《中华人民共和国民</w:t>
      </w:r>
      <w:r>
        <w:rPr>
          <w:rFonts w:hint="eastAsia" w:ascii="宋体" w:hAnsi="宋体" w:eastAsia="宋体" w:cs="宋体"/>
          <w:b w:val="0"/>
          <w:bCs/>
          <w:color w:val="000000"/>
          <w:sz w:val="24"/>
          <w:szCs w:val="24"/>
          <w:highlight w:val="none"/>
          <w:u w:val="none"/>
          <w:lang w:val="en-US" w:eastAsia="zh-CN"/>
        </w:rPr>
        <w:t xml:space="preserve">法典</w:t>
      </w:r>
      <w:r>
        <w:rPr>
          <w:rFonts w:ascii="宋体" w:hAnsi="宋体" w:eastAsia="宋体" w:cs="宋体"/>
          <w:b w:val="0"/>
          <w:bCs/>
          <w:color w:val="000000"/>
          <w:sz w:val="24"/>
          <w:szCs w:val="24"/>
          <w:highlight w:val="none"/>
          <w:u w:val="none"/>
          <w:lang w:val="en-US" w:eastAsia="zh-CN"/>
        </w:rPr>
        <w:t xml:space="preserve">》的规定办理，在合同履行过程中，双方如有争议，经协商无效，任何一方可向被告所在地人民法院提起诉讼。</w:t>
      </w:r>
      <w:r/>
    </w:p>
    <w:p>
      <w:pPr>
        <w:ind w:left="0"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3．合同在执行过程中出现的未尽事宜，双方在不违背本合同的原则下协商解决，协商结果以书面形式盖章记录在案，作为本合同的附件，与本合同具有同等效力。</w:t>
      </w:r>
      <w:r/>
    </w:p>
    <w:p>
      <w:pPr>
        <w:ind w:left="0" w:firstLine="480"/>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ascii="宋体" w:hAnsi="宋体" w:eastAsia="宋体" w:cs="宋体"/>
          <w:b w:val="0"/>
          <w:bCs/>
          <w:color w:val="000000"/>
          <w:sz w:val="24"/>
          <w:szCs w:val="24"/>
          <w:highlight w:val="none"/>
          <w:u w:val="none"/>
          <w:lang w:val="en-US" w:eastAsia="zh-CN"/>
        </w:rPr>
        <w:t xml:space="preserve">4.合同一式伍份，甲乙双方各执贰份，采购代理机构壹份。</w:t>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甲方（公章）：                          乙方（公章）：</w:t>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法定代表人或授权人(签名)：           法定代表人或授权人(签名)：</w:t>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电 话：                               电 话：</w:t>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开户银行：                            开户银行：</w:t>
      </w:r>
      <w:r/>
    </w:p>
    <w:p>
      <w:pPr>
        <w:keepLines w:val="0"/>
        <w:keepNext w:val="0"/>
        <w:pageBreakBefore w:val="0"/>
        <w:spacing w:line="360" w:lineRule="auto"/>
        <w:widowControl w:val="off"/>
        <w:rPr>
          <w:rFonts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帐 号：                               帐 号：</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日 期：     年   月   日              日 期：     年   月   日</w:t>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outlineLvl w:val="9"/>
      </w:pPr>
      <w:r>
        <w:rPr>
          <w:rFonts w:hint="eastAsia" w:ascii="宋体" w:hAnsi="宋体" w:eastAsia="宋体" w:cs="宋体"/>
          <w:b w:val="0"/>
          <w:bCs/>
          <w:color w:val="000000"/>
          <w:sz w:val="24"/>
          <w:szCs w:val="24"/>
          <w:highlight w:val="none"/>
          <w:u w:val="none"/>
          <w:lang w:val="en-US" w:eastAsia="zh-CN"/>
        </w:rPr>
        <w:t xml:space="preserve">见证方（公章）：</w:t>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outlineLvl w:val="9"/>
      </w:pPr>
      <w:r>
        <w:rPr>
          <w:rFonts w:hint="eastAsia" w:ascii="宋体" w:hAnsi="宋体" w:eastAsia="宋体" w:cs="宋体"/>
          <w:b w:val="0"/>
          <w:bCs/>
          <w:color w:val="000000"/>
          <w:sz w:val="24"/>
          <w:szCs w:val="24"/>
          <w:highlight w:val="none"/>
          <w:u w:val="none"/>
          <w:lang w:val="de-DE" w:eastAsia="zh-CN"/>
        </w:rPr>
      </w:r>
      <w:r/>
    </w:p>
    <w:p>
      <w:pPr>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sectPr>
          <w:headerReference w:type="default" r:id="rId12"/>
          <w:footerReference w:type="default" r:id="rId23"/>
          <w:footnotePr/>
          <w:endnotePr/>
          <w:type w:val="nextPage"/>
          <w:pgSz w:w="11906" w:h="16838" w:orient="portrait"/>
          <w:pgMar w:top="1304" w:right="1304" w:bottom="1304" w:left="1304" w:header="851" w:footer="992" w:gutter="0"/>
          <w:cols w:num="1" w:sep="0" w:space="1701" w:equalWidth="1"/>
          <w:docGrid w:linePitch="360"/>
        </w:sectPr>
        <w:outlineLvl w:val="9"/>
      </w:pPr>
      <w:r>
        <w:rPr>
          <w:rFonts w:hint="eastAsia" w:ascii="宋体" w:hAnsi="宋体" w:eastAsia="宋体" w:cs="宋体"/>
          <w:b w:val="0"/>
          <w:bCs/>
          <w:color w:val="000000"/>
          <w:sz w:val="24"/>
          <w:szCs w:val="24"/>
          <w:highlight w:val="none"/>
          <w:u w:val="none"/>
          <w:lang w:val="de-DE" w:eastAsia="zh-CN"/>
        </w:rPr>
      </w:r>
      <w:bookmarkEnd w:id="31"/>
      <w:r/>
      <w:bookmarkEnd w:id="32"/>
      <w:r/>
      <w:bookmarkEnd w:id="33"/>
      <w:r/>
      <w:r/>
    </w:p>
    <w:p>
      <w:pPr>
        <w:spacing w:line="440" w:lineRule="exact"/>
        <w:widowControl/>
        <w:rPr>
          <w:rFonts w:hint="eastAsia" w:ascii="宋体" w:hAnsi="宋体" w:cs="宋体"/>
          <w:b/>
          <w:bCs/>
          <w:sz w:val="24"/>
          <w:highlight w:val="none"/>
          <w:lang w:val="zh-CN" w:bidi="ar"/>
        </w:rPr>
      </w:pPr>
      <w:r>
        <w:rPr>
          <w:rFonts w:hint="eastAsia" w:ascii="宋体" w:hAnsi="宋体" w:cs="宋体"/>
          <w:b/>
          <w:bCs/>
          <w:sz w:val="24"/>
          <w:highlight w:val="none"/>
          <w:lang w:val="zh-CN" w:bidi="ar"/>
        </w:rPr>
        <w:t xml:space="preserve">附件：</w:t>
      </w:r>
      <w:r/>
    </w:p>
    <w:p>
      <w:pPr>
        <w:ind w:firstLine="482"/>
        <w:jc w:val="center"/>
        <w:spacing w:line="440" w:lineRule="exact"/>
        <w:widowControl/>
        <w:rPr>
          <w:rFonts w:hint="eastAsia"/>
          <w:b/>
          <w:bCs/>
          <w:highlight w:val="none"/>
        </w:rPr>
      </w:pPr>
      <w:r>
        <w:rPr>
          <w:rFonts w:hint="eastAsia" w:ascii="宋体" w:hAnsi="宋体" w:cs="宋体"/>
          <w:b/>
          <w:bCs/>
          <w:sz w:val="24"/>
          <w:highlight w:val="none"/>
          <w:lang w:bidi="ar"/>
        </w:rPr>
        <w:t xml:space="preserve">（1）电梯维保服务月度质量评价考核表</w:t>
      </w:r>
      <w:r/>
    </w:p>
    <w:tbl>
      <w:tblPr>
        <w:tblStyle w:val="1635"/>
        <w:tblW w:w="103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518"/>
        <w:gridCol w:w="4964"/>
        <w:gridCol w:w="960"/>
        <w:gridCol w:w="1429"/>
        <w:gridCol w:w="621"/>
        <w:gridCol w:w="617"/>
        <w:gridCol w:w="572"/>
      </w:tblGrid>
      <w:tr>
        <w:trPr>
          <w:jc w:val="center"/>
          <w:trHeight w:val="90"/>
        </w:trPr>
        <w:tc>
          <w:tcPr>
            <w:gridSpan w:val="3"/>
            <w:tcW w:w="6192" w:type="dxa"/>
            <w:vAlign w:val="center"/>
            <w:textDirection w:val="lrTb"/>
            <w:noWrap w:val="false"/>
          </w:tcPr>
          <w:p>
            <w:pP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项目名称：                维保单位：</w:t>
            </w:r>
            <w:r/>
          </w:p>
        </w:tc>
        <w:tc>
          <w:tcPr>
            <w:gridSpan w:val="5"/>
            <w:tcW w:w="419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                   年 月</w:t>
            </w:r>
            <w:r/>
          </w:p>
        </w:tc>
      </w:tr>
      <w:tr>
        <w:trPr>
          <w:jc w:val="center"/>
        </w:trPr>
        <w:tc>
          <w:tcPr>
            <w:tcW w:w="710"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序</w:t>
            </w:r>
            <w:r/>
          </w:p>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号</w:t>
            </w:r>
            <w:r/>
          </w:p>
        </w:tc>
        <w:tc>
          <w:tcPr>
            <w:gridSpan w:val="2"/>
            <w:tcW w:w="5482"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评定内容</w:t>
            </w:r>
            <w:r/>
          </w:p>
        </w:tc>
        <w:tc>
          <w:tcPr>
            <w:tcW w:w="960"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标准</w:t>
            </w:r>
            <w:r/>
          </w:p>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分值</w:t>
            </w:r>
            <w:r/>
          </w:p>
        </w:tc>
        <w:tc>
          <w:tcPr>
            <w:tcW w:w="1429"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扣分</w:t>
            </w:r>
            <w:r/>
          </w:p>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标准</w:t>
            </w:r>
            <w:r/>
          </w:p>
        </w:tc>
        <w:tc>
          <w:tcPr>
            <w:tcW w:w="621"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扣</w:t>
            </w:r>
            <w:r/>
          </w:p>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分</w:t>
            </w:r>
            <w:r/>
          </w:p>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值</w:t>
            </w:r>
            <w:r/>
          </w:p>
        </w:tc>
        <w:tc>
          <w:tcPr>
            <w:tcW w:w="617"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得</w:t>
            </w:r>
            <w:r/>
          </w:p>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分</w:t>
            </w:r>
            <w:r/>
          </w:p>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值</w:t>
            </w:r>
            <w:r/>
          </w:p>
        </w:tc>
        <w:tc>
          <w:tcPr>
            <w:tcW w:w="572"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备</w:t>
            </w:r>
            <w:r/>
          </w:p>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注</w:t>
            </w:r>
            <w:r/>
          </w:p>
        </w:tc>
      </w:tr>
      <w:tr>
        <w:trPr>
          <w:jc w:val="center"/>
          <w:trHeight w:val="90"/>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p>
        </w:tc>
        <w:tc>
          <w:tcPr>
            <w:tcW w:w="518" w:type="dxa"/>
            <w:vAlign w:val="center"/>
            <w:vMerge w:val="restart"/>
            <w:textDirection w:val="lrTb"/>
            <w:noWrap w:val="false"/>
          </w:tcPr>
          <w:p>
            <w:pPr>
              <w:jc w:val="both"/>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合</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同</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要</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求</w:t>
            </w:r>
            <w:r/>
          </w:p>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进入小区的维修保养人员未遵守物业规章制度的。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lang w:bidi="ar"/>
              </w:rPr>
              <w:t xml:space="preserve">1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维保人员操作证复印件未按合同要求交于甲方存档。</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cs="宋体"/>
                <w:sz w:val="22"/>
                <w:szCs w:val="22"/>
                <w:highlight w:val="none"/>
                <w:lang w:val="en-US" w:eastAsia="zh-CN" w:bidi="ar"/>
              </w:rPr>
              <w:t xml:space="preserve">2</w:t>
            </w:r>
            <w:r/>
          </w:p>
        </w:tc>
        <w:tc>
          <w:tcPr>
            <w:tcW w:w="1429"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1 分/人次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3</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提供给物业的联系人电话未保持24小时畅通及未及时更新的</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cs="宋体"/>
                <w:sz w:val="22"/>
                <w:szCs w:val="22"/>
                <w:highlight w:val="none"/>
                <w:lang w:val="en-US" w:eastAsia="zh-CN" w:bidi="ar"/>
              </w:rPr>
              <w:t xml:space="preserve">2</w:t>
            </w:r>
            <w:r/>
          </w:p>
        </w:tc>
        <w:tc>
          <w:tcPr>
            <w:tcW w:w="1429"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lang w:bidi="ar"/>
              </w:rPr>
              <w:t xml:space="preserve">1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4</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每月25日前未能提交下月工作计划，或提交计划不合格的。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2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794"/>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5</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未按工作计划完成计划保养内容，且未提前书面报备原因的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2分/次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90"/>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6</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合同期内因乙方原因受到业主投诉(电话、APP、书面、前台)</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10</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10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7</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在维修保养过程中，有违反安全操作规程及存在安全隐患的。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2分/次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8</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保养人员数量与合同要求不符的。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2 分/人</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397"/>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9</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驻场人员数量与合同要求不符。</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2分/人</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10</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每次维修保养工作完成后，未按规定填写及签署工作记录的，或未按要求在电梯保险服务管理系统中提交保养信息的。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2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11</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乙方未按要求对甲方员工进行电梯知识技能培训或无记录。</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2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12</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在维修保养过程中，发现问题及隐患未及时处理的。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4分/次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13</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节假日乙方需确保至少一名值班人员</w:t>
            </w:r>
            <w:r>
              <w:rPr>
                <w:rFonts w:hint="eastAsia" w:ascii="宋体" w:hAnsi="宋体" w:cs="宋体"/>
                <w:sz w:val="22"/>
                <w:szCs w:val="22"/>
                <w:highlight w:val="none"/>
                <w:lang w:eastAsia="zh-CN" w:bidi="ar"/>
              </w:rPr>
              <w:t xml:space="preserve">，</w:t>
            </w:r>
            <w:r>
              <w:rPr>
                <w:rFonts w:hint="eastAsia" w:ascii="宋体" w:hAnsi="宋体" w:cs="宋体"/>
                <w:sz w:val="22"/>
                <w:szCs w:val="22"/>
                <w:highlight w:val="none"/>
                <w:lang w:bidi="ar"/>
              </w:rPr>
              <w:t xml:space="preserve">未按合同要求备案的。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4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14</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因乙方提供材料及配件质量问题产生的安全责任事故及损失。</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10</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10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15</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乙方保养人员进入机房、轿顶或井道作业完毕后</w:t>
            </w:r>
            <w:r>
              <w:rPr>
                <w:rFonts w:hint="eastAsia" w:ascii="宋体" w:hAnsi="宋体" w:cs="宋体"/>
                <w:sz w:val="22"/>
                <w:szCs w:val="22"/>
                <w:highlight w:val="none"/>
                <w:lang w:eastAsia="zh-CN" w:bidi="ar"/>
              </w:rPr>
              <w:t xml:space="preserve">，</w:t>
            </w:r>
            <w:r>
              <w:rPr>
                <w:rFonts w:hint="eastAsia" w:ascii="宋体" w:hAnsi="宋体" w:cs="宋体"/>
                <w:sz w:val="22"/>
                <w:szCs w:val="22"/>
                <w:highlight w:val="none"/>
                <w:lang w:bidi="ar"/>
              </w:rPr>
              <w:t xml:space="preserve">未锁好门栓。</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4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16</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收费配件未按照合同要求调配到货。</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4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17</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乙方未按合同要求办理电梯的安全年检手续，影响甲方电梯正常使用及对甲方造成负面影响的</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10</w:t>
            </w:r>
            <w:r/>
          </w:p>
        </w:tc>
        <w:tc>
          <w:tcPr>
            <w:tcW w:w="1429" w:type="dxa"/>
            <w:vAlign w:val="center"/>
            <w:textDirection w:val="lrTb"/>
            <w:noWrap w:val="false"/>
          </w:tcPr>
          <w:p>
            <w:pPr>
              <w:jc w:val="center"/>
              <w:widowControl/>
              <w:rPr>
                <w:rFonts w:ascii="Cambria" w:hAnsi="Cambria" w:eastAsia="华文细黑" w:cs="Cambria"/>
                <w:sz w:val="22"/>
                <w:szCs w:val="22"/>
                <w:highlight w:val="none"/>
              </w:rPr>
            </w:pPr>
            <w:r>
              <w:rPr>
                <w:rFonts w:hint="eastAsia" w:ascii="宋体" w:hAnsi="宋体" w:cs="宋体"/>
                <w:sz w:val="22"/>
                <w:szCs w:val="22"/>
                <w:highlight w:val="none"/>
                <w:lang w:bidi="ar"/>
              </w:rPr>
              <w:t xml:space="preserve">10 分/次</w:t>
            </w:r>
            <w:r/>
          </w:p>
          <w:p>
            <w:pPr>
              <w:jc w:val="center"/>
              <w:widowControl/>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18</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乙方未配合完善电梯轿厢的标识，如电梯检验合格证、电梯安全使用守则、防夹手标识、电梯公司应急电话等。</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465"/>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19</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维保期间的免费配件未及时更换。</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4</w:t>
            </w:r>
            <w:r/>
          </w:p>
        </w:tc>
        <w:tc>
          <w:tcPr>
            <w:tcW w:w="1429" w:type="dxa"/>
            <w:vAlign w:val="center"/>
            <w:textDirection w:val="lrTb"/>
            <w:noWrap w:val="false"/>
          </w:tcPr>
          <w:p>
            <w:pPr>
              <w:jc w:val="center"/>
              <w:widowControl/>
              <w:rPr>
                <w:rFonts w:hint="eastAsia" w:ascii="Cambria" w:hAnsi="Cambria" w:eastAsia="华文细黑" w:cs="Cambria"/>
                <w:b/>
                <w:bCs/>
                <w:sz w:val="22"/>
                <w:szCs w:val="22"/>
                <w:highlight w:val="none"/>
              </w:rPr>
            </w:pPr>
            <w:r>
              <w:rPr>
                <w:rFonts w:hint="eastAsia" w:ascii="宋体" w:hAnsi="宋体" w:cs="宋体"/>
                <w:sz w:val="22"/>
                <w:szCs w:val="22"/>
                <w:highlight w:val="none"/>
                <w:lang w:bidi="ar"/>
              </w:rPr>
              <w:t xml:space="preserve">2 分/次</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20</w:t>
            </w:r>
            <w:r/>
          </w:p>
        </w:tc>
        <w:tc>
          <w:tcPr>
            <w:tcW w:w="518" w:type="dxa"/>
            <w:vAlign w:val="center"/>
            <w:vMerge w:val="restart"/>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电</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梯</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维</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修</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保</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养</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质</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量</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评</w:t>
            </w:r>
            <w:r/>
          </w:p>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定</w:t>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机房设备卫生不达标。</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cs="宋体"/>
                <w:sz w:val="22"/>
                <w:szCs w:val="22"/>
                <w:highlight w:val="none"/>
                <w:lang w:bidi="ar"/>
              </w:rPr>
              <w:t xml:space="preserve">2</w:t>
            </w:r>
            <w:r>
              <w:rPr>
                <w:rFonts w:hint="eastAsia" w:ascii="宋体" w:hAnsi="宋体" w:cs="宋体"/>
                <w:sz w:val="22"/>
                <w:szCs w:val="22"/>
                <w:highlight w:val="none"/>
                <w:lang w:val="en-US" w:eastAsia="zh-CN" w:bidi="ar"/>
              </w:rPr>
              <w:t xml:space="preserve">1</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油杯缺油（油杯油量应在 1/3-2/3 之间）。</w:t>
            </w:r>
            <w:r/>
          </w:p>
        </w:tc>
        <w:tc>
          <w:tcPr>
            <w:tcW w:w="960" w:type="dxa"/>
            <w:vAlign w:val="center"/>
            <w:textDirection w:val="lrTb"/>
            <w:noWrap w:val="false"/>
          </w:tcPr>
          <w:p>
            <w:pPr>
              <w:jc w:val="center"/>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cs="宋体"/>
                <w:sz w:val="22"/>
                <w:szCs w:val="22"/>
                <w:highlight w:val="none"/>
                <w:lang w:bidi="ar"/>
              </w:rPr>
              <w:t xml:space="preserve">2</w:t>
            </w:r>
            <w:r>
              <w:rPr>
                <w:rFonts w:hint="eastAsia" w:ascii="宋体" w:hAnsi="宋体" w:cs="宋体"/>
                <w:sz w:val="22"/>
                <w:szCs w:val="22"/>
                <w:highlight w:val="none"/>
                <w:lang w:val="en-US" w:eastAsia="zh-CN" w:bidi="ar"/>
              </w:rPr>
              <w:t xml:space="preserve">2</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运行有明显异响。</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hint="eastAsia" w:ascii="宋体" w:hAnsi="宋体" w:eastAsia="宋体" w:cs="宋体"/>
                <w:sz w:val="22"/>
                <w:szCs w:val="22"/>
                <w:highlight w:val="none"/>
                <w:lang w:eastAsia="zh-CN" w:bidi="ar"/>
              </w:rPr>
            </w:pPr>
            <w:r>
              <w:rPr>
                <w:rFonts w:hint="eastAsia" w:ascii="宋体" w:hAnsi="宋体" w:cs="宋体"/>
                <w:sz w:val="22"/>
                <w:szCs w:val="22"/>
                <w:highlight w:val="none"/>
                <w:lang w:bidi="ar"/>
              </w:rPr>
              <w:t xml:space="preserve">2</w:t>
            </w:r>
            <w:r>
              <w:rPr>
                <w:rFonts w:hint="eastAsia" w:ascii="宋体" w:hAnsi="宋体" w:cs="宋体"/>
                <w:sz w:val="22"/>
                <w:szCs w:val="22"/>
                <w:highlight w:val="none"/>
                <w:lang w:val="en-US" w:eastAsia="zh-CN" w:bidi="ar"/>
              </w:rPr>
              <w:t xml:space="preserve">3</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机房运动部件防护罩未安装。</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24</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平层标识缺失，救援工具或标识脱落缺失。</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25</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轿顶环境卫生不达标。</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26</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轿顶照明缺失或失效。</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27</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平层精度大于 10mm。</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Height w:val="356"/>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28</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井道照明一半以上不亮，或底坑照明不亮。</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29</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底坑环境卫生不达标。</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30</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底坑补偿链（绳）离地小于10公分，或两条明显高度不一致。</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31</w:t>
            </w:r>
            <w:r/>
          </w:p>
        </w:tc>
        <w:tc>
          <w:tcPr>
            <w:tcW w:w="518" w:type="dxa"/>
            <w:vAlign w:val="center"/>
            <w:vMerge w:val="continue"/>
            <w:textDirection w:val="lrTb"/>
            <w:noWrap w:val="false"/>
          </w:tcPr>
          <w:p>
            <w:pPr>
              <w:pStyle w:val="1894"/>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4964" w:type="dxa"/>
            <w:vAlign w:val="center"/>
            <w:textDirection w:val="lrTb"/>
            <w:noWrap w:val="false"/>
          </w:tcPr>
          <w:p>
            <w:pP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张紧轮开关与撞杆较近，急停开关松动，未固定牢固。</w:t>
            </w:r>
            <w:r/>
          </w:p>
        </w:tc>
        <w:tc>
          <w:tcPr>
            <w:tcW w:w="960" w:type="dxa"/>
            <w:vAlign w:val="center"/>
            <w:textDirection w:val="lrTb"/>
            <w:noWrap w:val="false"/>
          </w:tcPr>
          <w:p>
            <w:pPr>
              <w:jc w:val="center"/>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Cambria" w:hAnsi="Cambria" w:eastAsia="华文细黑" w:cs="Cambria"/>
                <w:sz w:val="22"/>
                <w:szCs w:val="22"/>
                <w:highlight w:val="none"/>
              </w:rPr>
            </w:pPr>
            <w:r>
              <w:rPr>
                <w:rFonts w:hint="eastAsia" w:ascii="宋体" w:hAnsi="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617"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c>
          <w:tcPr>
            <w:tcW w:w="572" w:type="dxa"/>
            <w:vAlign w:val="center"/>
            <w:textDirection w:val="lrTb"/>
            <w:noWrap w:val="false"/>
          </w:tcPr>
          <w:p>
            <w:pPr>
              <w:pStyle w:val="1894"/>
              <w:jc w:val="center"/>
              <w:rPr>
                <w:rFonts w:hint="eastAsia" w:ascii="Cambria" w:hAnsi="Cambria" w:eastAsia="华文细黑" w:cs="Cambria"/>
                <w:sz w:val="22"/>
                <w:szCs w:val="22"/>
                <w:highlight w:val="none"/>
              </w:rPr>
            </w:pPr>
            <w:r>
              <w:rPr>
                <w:rFonts w:hint="eastAsia" w:ascii="Cambria" w:hAnsi="Cambria" w:eastAsia="华文细黑" w:cs="Cambria"/>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32</w:t>
            </w:r>
            <w:r/>
          </w:p>
        </w:tc>
        <w:tc>
          <w:tcPr>
            <w:tcW w:w="518" w:type="dxa"/>
            <w:vAlign w:val="center"/>
            <w:vMerge w:val="continue"/>
            <w:textDirection w:val="lrTb"/>
            <w:noWrap w:val="false"/>
          </w:tcPr>
          <w:p>
            <w:pPr>
              <w:pStyle w:val="1894"/>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轿内按钮或面板松动，外呼板松动，未固定牢固。</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17" w:type="dxa"/>
            <w:vAlign w:val="center"/>
            <w:textDirection w:val="lrTb"/>
            <w:noWrap w:val="false"/>
          </w:tcPr>
          <w:p>
            <w:pPr>
              <w:pStyle w:val="1894"/>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72" w:type="dxa"/>
            <w:vAlign w:val="center"/>
            <w:textDirection w:val="lrTb"/>
            <w:noWrap w:val="false"/>
          </w:tcPr>
          <w:p>
            <w:pPr>
              <w:pStyle w:val="1894"/>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Pr>
        <w:tc>
          <w:tcPr>
            <w:tcW w:w="710" w:type="dxa"/>
            <w:vAlign w:val="center"/>
            <w:textDirection w:val="lrTb"/>
            <w:noWrap w:val="false"/>
          </w:tcPr>
          <w:p>
            <w:pPr>
              <w:jc w:val="center"/>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33</w:t>
            </w:r>
            <w:r/>
          </w:p>
        </w:tc>
        <w:tc>
          <w:tcPr>
            <w:tcW w:w="518" w:type="dxa"/>
            <w:vAlign w:val="center"/>
            <w:vMerge w:val="continue"/>
            <w:textDirection w:val="lrTb"/>
            <w:noWrap w:val="false"/>
          </w:tcPr>
          <w:p>
            <w:pPr>
              <w:pStyle w:val="1894"/>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4964" w:type="dxa"/>
            <w:vAlign w:val="center"/>
            <w:textDirection w:val="lrTb"/>
            <w:noWrap w:val="false"/>
          </w:tcPr>
          <w:p>
            <w:pP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轿厢风扇出风口砂石较多。</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w:t>
            </w:r>
            <w:r/>
          </w:p>
        </w:tc>
        <w:tc>
          <w:tcPr>
            <w:tcW w:w="142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 分/项</w:t>
            </w:r>
            <w:r/>
          </w:p>
        </w:tc>
        <w:tc>
          <w:tcPr>
            <w:tcW w:w="621" w:type="dxa"/>
            <w:vAlign w:val="center"/>
            <w:textDirection w:val="lrTb"/>
            <w:noWrap w:val="false"/>
          </w:tcPr>
          <w:p>
            <w:pPr>
              <w:pStyle w:val="1894"/>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17" w:type="dxa"/>
            <w:vAlign w:val="center"/>
            <w:textDirection w:val="lrTb"/>
            <w:noWrap w:val="false"/>
          </w:tcPr>
          <w:p>
            <w:pPr>
              <w:pStyle w:val="1894"/>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72" w:type="dxa"/>
            <w:vAlign w:val="center"/>
            <w:textDirection w:val="lrTb"/>
            <w:noWrap w:val="false"/>
          </w:tcPr>
          <w:p>
            <w:pPr>
              <w:pStyle w:val="1894"/>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462"/>
        </w:trPr>
        <w:tc>
          <w:tcPr>
            <w:gridSpan w:val="3"/>
            <w:tcW w:w="6192"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合计（低于60分为不合格）</w:t>
            </w:r>
            <w:r/>
          </w:p>
        </w:tc>
        <w:tc>
          <w:tcPr>
            <w:tcW w:w="960" w:type="dxa"/>
            <w:vAlign w:val="center"/>
            <w:textDirection w:val="lrTb"/>
            <w:noWrap w:val="false"/>
          </w:tcPr>
          <w:p>
            <w:pPr>
              <w:jc w:val="center"/>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100</w:t>
            </w:r>
            <w:r/>
          </w:p>
        </w:tc>
        <w:tc>
          <w:tcPr>
            <w:tcW w:w="1429" w:type="dxa"/>
            <w:vAlign w:val="center"/>
            <w:textDirection w:val="lrTb"/>
            <w:noWrap w:val="false"/>
          </w:tcPr>
          <w:p>
            <w:pPr>
              <w:pStyle w:val="1894"/>
              <w:ind w:left="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21" w:type="dxa"/>
            <w:vAlign w:val="center"/>
            <w:textDirection w:val="lrTb"/>
            <w:noWrap w:val="false"/>
          </w:tcPr>
          <w:p>
            <w:pPr>
              <w:pStyle w:val="1894"/>
              <w:ind w:left="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17" w:type="dxa"/>
            <w:vAlign w:val="center"/>
            <w:textDirection w:val="lrTb"/>
            <w:noWrap w:val="false"/>
          </w:tcPr>
          <w:p>
            <w:pPr>
              <w:pStyle w:val="1894"/>
              <w:ind w:left="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572" w:type="dxa"/>
            <w:vAlign w:val="center"/>
            <w:textDirection w:val="lrTb"/>
            <w:noWrap w:val="false"/>
          </w:tcPr>
          <w:p>
            <w:pPr>
              <w:pStyle w:val="1894"/>
              <w:ind w:left="0"/>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ind w:firstLine="480"/>
        <w:jc w:val="left"/>
        <w:spacing w:line="44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物业公司项目负责人：     承保单位电梯管理人员：         电梯维保单位确认： </w:t>
      </w:r>
      <w:r/>
    </w:p>
    <w:p>
      <w:pPr>
        <w:ind w:firstLine="480"/>
        <w:jc w:val="left"/>
        <w:spacing w:line="440" w:lineRule="exact"/>
        <w:widowControl/>
        <w:rPr>
          <w:rFonts w:hint="eastAsia" w:ascii="宋体" w:hAnsi="宋体" w:cs="宋体"/>
          <w:b/>
          <w:bCs/>
          <w:szCs w:val="21"/>
          <w:highlight w:val="none"/>
          <w:lang w:bidi="ar"/>
        </w:rPr>
      </w:pPr>
      <w:r>
        <w:rPr>
          <w:rFonts w:hint="eastAsia" w:ascii="宋体" w:hAnsi="宋体" w:eastAsia="宋体" w:cs="宋体"/>
          <w:sz w:val="24"/>
          <w:szCs w:val="24"/>
          <w:highlight w:val="none"/>
          <w:lang w:bidi="ar"/>
        </w:rPr>
        <w:t xml:space="preserve">日期：                   日期：                         日期： </w:t>
      </w:r>
      <w:r/>
    </w:p>
    <w:p>
      <w:pP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jc w:val="center"/>
        <w:spacing w:line="360" w:lineRule="auto"/>
        <w:rPr>
          <w:rFonts w:hint="eastAsia" w:ascii="宋体" w:hAnsi="宋体" w:cs="宋体"/>
          <w:bCs/>
          <w:sz w:val="28"/>
          <w:szCs w:val="28"/>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cs="宋体"/>
          <w:bCs/>
          <w:sz w:val="28"/>
          <w:szCs w:val="28"/>
          <w:highlight w:val="none"/>
        </w:rPr>
      </w:r>
      <w:r/>
    </w:p>
    <w:p>
      <w:pPr>
        <w:jc w:val="center"/>
        <w:spacing w:line="440" w:lineRule="exact"/>
        <w:widowControl/>
        <w:rPr>
          <w:rFonts w:hint="eastAsia" w:ascii="宋体" w:hAnsi="宋体" w:cs="宋体"/>
          <w:b/>
          <w:bCs/>
          <w:sz w:val="24"/>
          <w:highlight w:val="none"/>
          <w:lang w:bidi="ar"/>
        </w:rPr>
      </w:pPr>
      <w:r>
        <w:rPr>
          <w:rFonts w:hint="eastAsia" w:ascii="宋体" w:hAnsi="宋体" w:cs="宋体"/>
          <w:b/>
          <w:bCs/>
          <w:sz w:val="24"/>
          <w:highlight w:val="none"/>
          <w:lang w:bidi="ar"/>
        </w:rPr>
        <w:t xml:space="preserve">（2）电梯设施设备维保工作考核表</w:t>
      </w:r>
      <w:r/>
    </w:p>
    <w:p>
      <w:pPr>
        <w:ind w:firstLine="480"/>
        <w:spacing w:line="440" w:lineRule="exact"/>
        <w:widowControl/>
        <w:rPr>
          <w:rFonts w:hint="eastAsia" w:ascii="宋体" w:hAnsi="宋体" w:cs="宋体"/>
          <w:sz w:val="24"/>
          <w:highlight w:val="none"/>
          <w:lang w:bidi="ar"/>
        </w:rPr>
      </w:pPr>
      <w:r>
        <w:rPr>
          <w:rFonts w:hint="eastAsia" w:ascii="宋体" w:hAnsi="宋体" w:cs="宋体"/>
          <w:sz w:val="24"/>
          <w:highlight w:val="none"/>
          <w:lang w:bidi="ar"/>
        </w:rPr>
        <w:t xml:space="preserve">项目名称：                    维保单位：                          年   月</w:t>
      </w:r>
      <w:r/>
    </w:p>
    <w:tbl>
      <w:tblPr>
        <w:tblStyle w:val="1635"/>
        <w:tblW w:w="10417" w:type="dxa"/>
        <w:tblInd w:w="-5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7296"/>
        <w:gridCol w:w="840"/>
        <w:gridCol w:w="900"/>
        <w:gridCol w:w="905"/>
      </w:tblGrid>
      <w:tr>
        <w:trPr>
          <w:trHeight w:val="2191"/>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序</w:t>
            </w:r>
            <w:r/>
          </w:p>
          <w:p>
            <w:pPr>
              <w:pStyle w:val="1894"/>
              <w:ind w:left="0" w:right="0" w:firstLine="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号</w:t>
            </w:r>
            <w:r/>
          </w:p>
        </w:tc>
        <w:tc>
          <w:tcPr>
            <w:tcW w:w="7296"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考核具体内容</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本月实际发生情况</w:t>
            </w:r>
            <w:r/>
          </w:p>
        </w:tc>
        <w:tc>
          <w:tcPr>
            <w:tcW w:w="90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本月应扣罚的维保款项</w:t>
            </w:r>
            <w:r/>
          </w:p>
        </w:tc>
        <w:tc>
          <w:tcPr>
            <w:tcW w:w="905"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扣罚说明（简要描述）取证素材可另附页</w:t>
            </w:r>
            <w:r/>
          </w:p>
        </w:tc>
      </w:tr>
      <w:tr>
        <w:trPr>
          <w:trHeight w:val="90"/>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发生紧急情况（水浸、同一单元过半以上电梯发生故障等，丙方不能按时到达或出现维修不及时（小修24小时内修理完毕）的情况，月度内第一次出现扣除丙方当月电梯保养费5%，第二次出现扣除当月电梯保养费10%；第三次出现甲方有权扣除乙方、丙方当月电梯保养费20%的违约金，并有权单方面终止合同，并且不需要承担因终止合同而引发的相关责任。</w:t>
            </w:r>
            <w:r/>
          </w:p>
        </w:tc>
        <w:tc>
          <w:tcPr>
            <w:tcW w:w="840" w:type="dxa"/>
            <w:vAlign w:val="center"/>
            <w:textDirection w:val="lrTb"/>
            <w:noWrap w:val="false"/>
          </w:tcPr>
          <w:p>
            <w:pPr>
              <w:pStyle w:val="1894"/>
              <w:ind w:left="0" w:firstLine="0"/>
              <w:jc w:val="both"/>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945"/>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2</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甲方可在紧急情况下另请他人维修（乙方接到通知不能及时赶到现场时），费用从乙方应得款项中扣除，所维修的质量经甲方验收合格后由乙方负责，并以书面形式知会甲方，存档备查。</w:t>
            </w:r>
            <w:r/>
          </w:p>
        </w:tc>
        <w:tc>
          <w:tcPr>
            <w:tcW w:w="840" w:type="dxa"/>
            <w:vAlign w:val="center"/>
            <w:textDirection w:val="lrTb"/>
            <w:noWrap w:val="false"/>
          </w:tcPr>
          <w:p>
            <w:pPr>
              <w:pStyle w:val="1894"/>
              <w:ind w:left="0" w:firstLine="0"/>
              <w:jc w:val="both"/>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57"/>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3</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保养期内如属丙方保养不良需复检的检测费须由丙方承担；在保养期内，质量技术监督局对电梯进行检查期间，甲乙双方应派员协助检查工作，但丙方需提前一周通知甲乙双方，所有未通知甲方乙方私自</w:t>
            </w:r>
            <w:r>
              <w:rPr>
                <w:rFonts w:hint="eastAsia" w:ascii="宋体" w:hAnsi="宋体" w:cs="宋体"/>
                <w:sz w:val="22"/>
                <w:szCs w:val="22"/>
                <w:highlight w:val="none"/>
                <w:lang w:eastAsia="zh-CN" w:bidi="ar"/>
              </w:rPr>
              <w:t xml:space="preserve">质检</w:t>
            </w:r>
            <w:r>
              <w:rPr>
                <w:rFonts w:hint="eastAsia" w:ascii="宋体" w:hAnsi="宋体" w:cs="宋体"/>
                <w:sz w:val="22"/>
                <w:szCs w:val="22"/>
                <w:highlight w:val="none"/>
                <w:lang w:bidi="ar"/>
              </w:rPr>
              <w:t xml:space="preserve">的质检费用由丙方承担。</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   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634"/>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4</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发现乙方、丙方委派无维保资格证的人员保养电梯：扣罚违约金200 元/人/次；</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   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945"/>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5</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乙方、丙方保养、维修时，基站不设警示标识：扣罚违约金200元/次，若因丙方安全预防措施不到位而导致的事故，均由乙方、丙方承担责任；</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234"/>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6</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乙方、丙方接到报修没有在30分钟内到达现场：违约金为扣款200元/次；</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9"/>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7</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乙方、丙方接到困人报修未在20分钟内到达现场</w:t>
            </w:r>
            <w:r>
              <w:rPr>
                <w:rFonts w:hint="eastAsia" w:ascii="宋体" w:hAnsi="宋体" w:cs="宋体"/>
                <w:sz w:val="22"/>
                <w:szCs w:val="22"/>
                <w:highlight w:val="none"/>
                <w:lang w:eastAsia="zh-CN" w:bidi="ar"/>
              </w:rPr>
              <w:t xml:space="preserve">，</w:t>
            </w:r>
            <w:r>
              <w:rPr>
                <w:rFonts w:hint="eastAsia" w:ascii="宋体" w:hAnsi="宋体" w:cs="宋体"/>
                <w:sz w:val="22"/>
                <w:szCs w:val="22"/>
                <w:highlight w:val="none"/>
                <w:lang w:bidi="ar"/>
              </w:rPr>
              <w:t xml:space="preserve">扣罚违约金 300 元/次</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945"/>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8</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因乙方、丙方保养不善或技术能力不足，当月同一台电梯连续发生故障2次的：扣除违约金200元/次；当月同一台电梯连续发生故障3次及以上的：扣除该台电梯当月维保费用总额。（电梯年度费用除以12）</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90"/>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9</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mc:AlternateContent>
                <mc:Choice Requires="wpg">
                  <w:drawing>
                    <wp:inline xmlns:wp="http://schemas.openxmlformats.org/drawingml/2006/wordprocessingDrawing" distT="0" distB="0" distL="0" distR="0">
                      <wp:extent cx="3756660" cy="1287145"/>
                      <wp:effectExtent l="0" t="0" r="0" b="0"/>
                      <wp:docPr id="2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37"/>
                              <a:stretch/>
                            </pic:blipFill>
                            <pic:spPr bwMode="auto">
                              <a:xfrm>
                                <a:off x="0" y="0"/>
                                <a:ext cx="3756660" cy="12872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95.8pt;height:101.3pt;mso-wrap-distance-left:0.0pt;mso-wrap-distance-top:0.0pt;mso-wrap-distance-right:0.0pt;mso-wrap-distance-bottom:0.0pt;" stroked="f">
                      <v:path textboxrect="0,0,0,0"/>
                      <v:imagedata r:id="rId37" o:title=""/>
                    </v:shape>
                  </w:pict>
                </mc:Fallback>
              </mc:AlternateContent>
            </w:r>
            <w:r/>
          </w:p>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1、电梯总量＞30 台的总体平均故障率＞15%，电梯总量≤30 台的故障次数累计＞6 次，乙方可根据实际情况约谈甲方，连续2个月无明显改善的，乙方有权更换电梯承保单位；</w:t>
            </w:r>
            <w:r/>
          </w:p>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2、以上所述“电梯故障率”指因丙方维保不当、技术能力不足导致的电梯故障；例如装修原因、电网电压波动、电梯浸水、恶劣天气、底坑渗漏水、井道渗漏水、使用不当造成的电梯故障不纳入对丙方考核范畴；</w:t>
            </w:r>
            <w:r/>
          </w:p>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3、总体平均故障率=当月电梯故障次数/电梯总台数。</w:t>
            </w:r>
            <w:r/>
          </w:p>
        </w:tc>
        <w:tc>
          <w:tcPr>
            <w:tcW w:w="840"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本 月 电</w:t>
            </w:r>
            <w:r/>
          </w:p>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梯 总 体</w:t>
            </w:r>
            <w:r/>
          </w:p>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平 均 故</w:t>
            </w:r>
            <w:r/>
          </w:p>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障率（ ）%</w:t>
            </w:r>
            <w:r/>
          </w:p>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故 障 次</w:t>
            </w:r>
            <w:r/>
          </w:p>
          <w:p>
            <w:pPr>
              <w:ind w:left="0"/>
              <w:jc w:val="center"/>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数 累 计（ ）次</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57"/>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10</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丙方因机械、工具或技术、劳力等跟不上管理维保需要造成管理维保质量不合格的，第一个月甲方要求丙方限期整改；第二个月仍不合格的，由此造成的损失由乙方、丙方承担，乙方、丙方需向甲方支付合同总额 10%的违约金。</w:t>
            </w:r>
            <w:r/>
          </w:p>
        </w:tc>
        <w:tc>
          <w:tcPr>
            <w:tcW w:w="84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002"/>
        </w:trPr>
        <w:tc>
          <w:tcPr>
            <w:tcW w:w="476" w:type="dxa"/>
            <w:vAlign w:val="center"/>
            <w:vMerge w:val="restart"/>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11</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未经甲方同意，乙方、丙方不得擅自更换派驻在甲方工作的技术人员（员工离职除外）。否则，乙方、丙方向甲方支付合同总额10%的违约金。</w:t>
            </w:r>
            <w:r/>
          </w:p>
        </w:tc>
        <w:tc>
          <w:tcPr>
            <w:tcW w:w="840" w:type="dxa"/>
            <w:vAlign w:val="center"/>
            <w:vMerge w:val="restart"/>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0" w:type="dxa"/>
            <w:vAlign w:val="center"/>
            <w:vMerge w:val="restart"/>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vMerge w:val="restart"/>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57"/>
        </w:trPr>
        <w:tc>
          <w:tcPr>
            <w:tcW w:w="476" w:type="dxa"/>
            <w:vAlign w:val="center"/>
            <w:vMerge w:val="continue"/>
            <w:textDirection w:val="lrTb"/>
            <w:noWrap w:val="false"/>
          </w:tcPr>
          <w:p>
            <w:pPr>
              <w:ind w:left="0" w:right="0" w:firstLine="0"/>
              <w:jc w:val="center"/>
              <w:keepLines w:val="0"/>
              <w:keepNext w:val="0"/>
              <w:pageBreakBefore w:val="0"/>
              <w:spacing w:line="240" w:lineRule="auto"/>
              <w:widowControl/>
              <w:rPr>
                <w:rFonts w:ascii="Cambria" w:hAnsi="Cambria" w:eastAsia="华文细黑" w:cs="Cambria"/>
                <w:sz w:val="22"/>
                <w:szCs w:val="22"/>
                <w:highlight w:val="none"/>
              </w:rPr>
            </w:pPr>
            <w:r>
              <w:rPr>
                <w:rFonts w:ascii="Cambria" w:hAnsi="Cambria" w:eastAsia="华文细黑" w:cs="Cambria"/>
                <w:sz w:val="22"/>
                <w:szCs w:val="22"/>
                <w:highlight w:val="none"/>
              </w:rPr>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合同期内，未经甲方同意，乙方、丙方擅自更改维保计划3次及以上的，甲方有权要求乙方、丙方赔偿合同总金额 20%的违约金，违约金不足以赔偿丙方损失的，甲方有权继续向</w:t>
            </w:r>
            <w:r>
              <w:rPr>
                <w:rFonts w:hint="eastAsia" w:ascii="宋体" w:hAnsi="宋体" w:cs="宋体"/>
                <w:sz w:val="22"/>
                <w:szCs w:val="22"/>
                <w:highlight w:val="none"/>
                <w:lang w:eastAsia="zh-CN" w:bidi="ar"/>
              </w:rPr>
              <w:t xml:space="preserve">双方</w:t>
            </w:r>
            <w:r>
              <w:rPr>
                <w:rFonts w:hint="eastAsia" w:ascii="宋体" w:hAnsi="宋体" w:cs="宋体"/>
                <w:sz w:val="22"/>
                <w:szCs w:val="22"/>
                <w:highlight w:val="none"/>
                <w:lang w:bidi="ar"/>
              </w:rPr>
              <w:t xml:space="preserve">追偿给甲方造成的直接经济损失。</w:t>
            </w:r>
            <w:r/>
          </w:p>
        </w:tc>
        <w:tc>
          <w:tcPr>
            <w:tcW w:w="840" w:type="dxa"/>
            <w:vAlign w:val="center"/>
            <w:vMerge w:val="continue"/>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0" w:type="dxa"/>
            <w:vAlign w:val="center"/>
            <w:vMerge w:val="continue"/>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vMerge w:val="continue"/>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1257"/>
        </w:trPr>
        <w:tc>
          <w:tcPr>
            <w:tcW w:w="476" w:type="dxa"/>
            <w:vAlign w:val="center"/>
            <w:textDirection w:val="lrTb"/>
            <w:noWrap w:val="false"/>
          </w:tcPr>
          <w:p>
            <w:pPr>
              <w:pStyle w:val="1894"/>
              <w:ind w:left="0" w:right="0" w:firstLine="0"/>
              <w:jc w:val="center"/>
              <w:keepLines w:val="0"/>
              <w:keepNext w:val="0"/>
              <w:pageBreakBefore w:val="0"/>
              <w:spacing w:after="0" w:line="240" w:lineRule="auto"/>
              <w:widowControl/>
              <w:rPr>
                <w:rFonts w:ascii="宋体" w:hAnsi="宋体" w:cs="宋体"/>
                <w:sz w:val="22"/>
                <w:szCs w:val="22"/>
                <w:highlight w:val="none"/>
                <w:lang w:bidi="ar"/>
              </w:rPr>
            </w:pPr>
            <w:r>
              <w:rPr>
                <w:rFonts w:hint="eastAsia" w:ascii="宋体" w:hAnsi="宋体" w:cs="宋体"/>
                <w:sz w:val="22"/>
                <w:szCs w:val="22"/>
                <w:highlight w:val="none"/>
                <w:lang w:bidi="ar"/>
              </w:rPr>
              <w:t xml:space="preserve">11</w:t>
            </w:r>
            <w:r/>
          </w:p>
        </w:tc>
        <w:tc>
          <w:tcPr>
            <w:tcW w:w="7296"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电梯维保服务月度质量评价表评分达到90分（含90分）以上的不另扣该项目当月维修保养费，考核评分低于90分相应扣减该项目当月保养费的5%，低于85分相应扣减该项目当月保养费的10%，如此类推；连续两个月考核评分低于50分的甲方有权终止合同。</w:t>
            </w:r>
            <w:r/>
          </w:p>
        </w:tc>
        <w:tc>
          <w:tcPr>
            <w:tcW w:w="84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本月电梯评分（ ）分</w:t>
            </w:r>
            <w:r/>
          </w:p>
        </w:tc>
        <w:tc>
          <w:tcPr>
            <w:tcW w:w="900"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c>
          <w:tcPr>
            <w:tcW w:w="905" w:type="dxa"/>
            <w:vAlign w:val="center"/>
            <w:textDirection w:val="lrTb"/>
            <w:noWrap w:val="false"/>
          </w:tcPr>
          <w:p>
            <w:pPr>
              <w:pStyle w:val="1894"/>
              <w:ind w:left="0"/>
              <w:jc w:val="center"/>
              <w:keepLines w:val="0"/>
              <w:keepNext w:val="0"/>
              <w:pageBreakBefore w:val="0"/>
              <w:spacing w:after="0"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r>
            <w:r/>
          </w:p>
        </w:tc>
      </w:tr>
      <w:tr>
        <w:trPr>
          <w:trHeight w:val="510"/>
        </w:trPr>
        <w:tc>
          <w:tcPr>
            <w:gridSpan w:val="5"/>
            <w:tcW w:w="10417" w:type="dxa"/>
            <w:vAlign w:val="center"/>
            <w:textDirection w:val="lrTb"/>
            <w:noWrap w:val="false"/>
          </w:tcPr>
          <w:p>
            <w:pPr>
              <w:ind w:left="0"/>
              <w:keepLines w:val="0"/>
              <w:keepNext w:val="0"/>
              <w:pageBreakBefore w:val="0"/>
              <w:spacing w:line="240" w:lineRule="auto"/>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当月扣罚维保费总计： 元（大写： ）                      </w:t>
            </w:r>
            <w:r/>
          </w:p>
        </w:tc>
      </w:tr>
    </w:tbl>
    <w:p>
      <w:pPr>
        <w:jc w:val="left"/>
        <w:spacing w:line="440" w:lineRule="exact"/>
        <w:widowControl/>
        <w:rPr>
          <w:rFonts w:hint="eastAsia" w:ascii="宋体" w:hAnsi="宋体" w:cs="宋体"/>
          <w:sz w:val="22"/>
          <w:szCs w:val="22"/>
          <w:highlight w:val="none"/>
          <w:lang w:bidi="ar"/>
        </w:rPr>
      </w:pPr>
      <w:r>
        <w:rPr>
          <w:rFonts w:hint="eastAsia" w:ascii="宋体" w:hAnsi="宋体" w:cs="宋体"/>
          <w:sz w:val="22"/>
          <w:szCs w:val="22"/>
          <w:highlight w:val="none"/>
          <w:lang w:bidi="ar"/>
        </w:rPr>
        <w:t xml:space="preserve">物业公司项目负责人（甲方）： 承保单位电梯管理人员（乙方）： 承保单位电梯管理人员（丙方）： </w:t>
      </w:r>
      <w:r/>
    </w:p>
    <w:p>
      <w:pPr>
        <w:jc w:val="left"/>
        <w:rPr>
          <w:rFonts w:hint="eastAsia" w:ascii="宋体" w:hAnsi="宋体" w:cs="宋体"/>
          <w:sz w:val="24"/>
          <w:highlight w:val="none"/>
          <w:lang w:bidi="ar"/>
        </w:rPr>
      </w:pPr>
      <w:r>
        <w:rPr>
          <w:rFonts w:hint="eastAsia" w:ascii="宋体" w:hAnsi="宋体" w:cs="宋体"/>
          <w:sz w:val="22"/>
          <w:szCs w:val="22"/>
          <w:highlight w:val="none"/>
          <w:lang w:bidi="ar"/>
        </w:rPr>
        <w:t xml:space="preserve">日期：                      日期：    </w:t>
      </w:r>
      <w:r>
        <w:rPr>
          <w:rFonts w:hint="eastAsia" w:ascii="宋体" w:hAnsi="宋体" w:cs="宋体"/>
          <w:sz w:val="24"/>
          <w:highlight w:val="none"/>
          <w:lang w:bidi="ar"/>
        </w:rPr>
        <w:t xml:space="preserve">                  </w:t>
      </w:r>
      <w:r>
        <w:rPr>
          <w:rFonts w:hint="eastAsia" w:ascii="宋体" w:hAnsi="宋体" w:cs="宋体"/>
          <w:sz w:val="22"/>
          <w:szCs w:val="22"/>
          <w:highlight w:val="none"/>
          <w:lang w:bidi="ar"/>
        </w:rPr>
        <w:t xml:space="preserve">日期： </w:t>
      </w:r>
      <w:r>
        <w:rPr>
          <w:rFonts w:hint="eastAsia" w:ascii="宋体" w:hAnsi="宋体" w:cs="宋体"/>
          <w:sz w:val="24"/>
          <w:highlight w:val="none"/>
          <w:lang w:bidi="ar"/>
        </w:rPr>
        <w:t xml:space="preserve"> </w:t>
      </w:r>
      <w:r/>
    </w:p>
    <w:p>
      <w:pPr>
        <w:pStyle w:val="1886"/>
        <w:rPr>
          <w:rFonts w:hint="eastAsia"/>
          <w:highlight w:val="none"/>
          <w:lang w:val="zh-CN"/>
        </w:rPr>
      </w:pPr>
      <w:r>
        <w:rPr>
          <w:rFonts w:hint="eastAsia"/>
          <w:highlight w:val="none"/>
          <w:lang w:val="zh-CN"/>
        </w:rPr>
      </w:r>
      <w:r/>
    </w:p>
    <w:p>
      <w:pPr>
        <w:ind w:firstLine="0"/>
        <w:rPr>
          <w:rFonts w:hint="eastAsia"/>
          <w:highlight w:val="none"/>
          <w:lang w:eastAsia="zh-CN"/>
        </w:rPr>
      </w:pPr>
      <w:r>
        <w:rPr>
          <w:rFonts w:hint="eastAsia"/>
          <w:highlight w:val="none"/>
          <w:lang w:val="zh-CN"/>
        </w:rPr>
        <w:t xml:space="preserve">注：</w:t>
      </w:r>
      <w:r>
        <w:rPr>
          <w:rFonts w:hint="eastAsia" w:ascii="宋体" w:hAnsi="宋体" w:cs="宋体"/>
          <w:sz w:val="22"/>
          <w:szCs w:val="22"/>
          <w:highlight w:val="none"/>
          <w:lang w:bidi="ar"/>
        </w:rPr>
        <w:t xml:space="preserve">电梯每月维保费金额为：年度维保费/12。</w:t>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outlineLvl w:val="9"/>
      </w:pPr>
      <w:r>
        <w:rPr>
          <w:rFonts w:hint="eastAsia" w:ascii="宋体" w:hAnsi="宋体" w:eastAsia="宋体" w:cs="宋体"/>
          <w:b w:val="0"/>
          <w:bCs/>
          <w:color w:val="000000"/>
          <w:sz w:val="24"/>
          <w:szCs w:val="24"/>
          <w:highlight w:val="none"/>
          <w:u w:val="none"/>
          <w:lang w:val="de-DE" w:eastAsia="zh-CN"/>
        </w:rPr>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outlineLvl w:val="9"/>
      </w:pPr>
      <w:r>
        <w:rPr>
          <w:rFonts w:hint="eastAsia" w:ascii="宋体" w:hAnsi="宋体" w:eastAsia="宋体" w:cs="宋体"/>
          <w:b w:val="0"/>
          <w:bCs/>
          <w:color w:val="000000"/>
          <w:sz w:val="24"/>
          <w:szCs w:val="24"/>
          <w:highlight w:val="none"/>
          <w:u w:val="none"/>
          <w:lang w:val="de-DE" w:eastAsia="zh-CN"/>
        </w:rPr>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outlineLvl w:val="9"/>
      </w:pPr>
      <w:r>
        <w:rPr>
          <w:rFonts w:hint="eastAsia" w:ascii="宋体" w:hAnsi="宋体" w:eastAsia="宋体" w:cs="宋体"/>
          <w:b w:val="0"/>
          <w:bCs/>
          <w:color w:val="000000"/>
          <w:sz w:val="24"/>
          <w:szCs w:val="24"/>
          <w:highlight w:val="none"/>
          <w:u w:val="none"/>
          <w:lang w:val="de-DE" w:eastAsia="zh-CN"/>
        </w:rPr>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de-DE" w:eastAsia="zh-CN"/>
        </w:rPr>
        <w:outlineLvl w:val="9"/>
      </w:pPr>
      <w:r>
        <w:rPr>
          <w:rFonts w:hint="eastAsia" w:ascii="宋体" w:hAnsi="宋体" w:eastAsia="宋体" w:cs="宋体"/>
          <w:b w:val="0"/>
          <w:bCs/>
          <w:color w:val="000000"/>
          <w:sz w:val="24"/>
          <w:szCs w:val="24"/>
          <w:highlight w:val="none"/>
          <w:u w:val="none"/>
          <w:lang w:val="de-DE" w:eastAsia="zh-CN"/>
        </w:rPr>
      </w:r>
      <w:r/>
    </w:p>
    <w:p>
      <w:pPr>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rPr>
        <w:sectPr>
          <w:footnotePr/>
          <w:endnotePr/>
          <w:type w:val="nextPage"/>
          <w:pgSz w:w="11906" w:h="16838" w:orient="portrait"/>
          <w:pgMar w:top="1134" w:right="1304" w:bottom="1134" w:left="1304" w:header="851" w:footer="992" w:gutter="0"/>
          <w:cols w:num="1" w:sep="0" w:space="1701" w:equalWidth="1"/>
          <w:docGrid w:linePitch="360"/>
        </w:sectPr>
        <w:outlineLvl w:val="9"/>
      </w:pPr>
      <w:r>
        <w:rPr>
          <w:rFonts w:hint="eastAsia" w:ascii="宋体" w:hAnsi="宋体" w:eastAsia="宋体" w:cs="宋体"/>
          <w:b w:val="0"/>
          <w:bCs/>
          <w:color w:val="000000"/>
          <w:sz w:val="24"/>
          <w:szCs w:val="24"/>
          <w:highlight w:val="none"/>
          <w:u w:val="none"/>
          <w:lang w:val="en-US" w:eastAsia="zh-CN"/>
        </w:rPr>
      </w:r>
      <w:r/>
    </w:p>
    <w:p>
      <w:pPr>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五、附件</w:t>
      </w:r>
      <w:r/>
    </w:p>
    <w:p>
      <w:pPr>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p>
    <w:p>
      <w:pPr>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p>
    <w:p>
      <w:pPr>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p>
    <w:p>
      <w:pPr>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p>
    <w:p>
      <w:pPr>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w:t>
      </w:r>
      <w:r>
        <w:rPr>
          <w:rFonts w:hint="eastAsia" w:ascii="宋体" w:hAnsi="宋体" w:cs="宋体"/>
          <w:b/>
          <w:color w:val="000000"/>
          <w:sz w:val="24"/>
          <w:szCs w:val="24"/>
          <w:highlight w:val="none"/>
          <w:lang w:eastAsia="zh-CN"/>
        </w:rPr>
        <w:t xml:space="preserve">（</w:t>
      </w:r>
      <w:r>
        <w:rPr>
          <w:rFonts w:hint="eastAsia" w:ascii="宋体" w:hAnsi="宋体" w:cs="宋体"/>
          <w:b/>
          <w:color w:val="ff0000"/>
          <w:sz w:val="24"/>
          <w:szCs w:val="24"/>
          <w:highlight w:val="none"/>
          <w:lang w:val="en-US" w:eastAsia="zh-CN"/>
        </w:rPr>
        <w:t xml:space="preserve">暗标</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 xml:space="preserve">50</w:t>
      </w:r>
      <w:r>
        <w:rPr>
          <w:rFonts w:hint="eastAsia" w:ascii="宋体" w:hAnsi="宋体" w:eastAsia="宋体" w:cs="宋体"/>
          <w:b/>
          <w:color w:val="000000"/>
          <w:sz w:val="24"/>
          <w:szCs w:val="24"/>
          <w:highlight w:val="none"/>
        </w:rPr>
        <w:t xml:space="preserve">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p>
    <w:p>
      <w:pPr>
        <w:pStyle w:val="1850"/>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a.对</w:t>
      </w:r>
      <w:r>
        <w:rPr>
          <w:rFonts w:hint="eastAsia" w:ascii="宋体" w:hAnsi="宋体" w:cs="宋体"/>
          <w:sz w:val="24"/>
          <w:highlight w:val="none"/>
          <w:lang w:val="en-US" w:eastAsia="zh-CN"/>
        </w:rPr>
        <w:t xml:space="preserve">中</w:t>
      </w:r>
      <w:r>
        <w:rPr>
          <w:rFonts w:hint="eastAsia" w:ascii="宋体" w:hAnsi="宋体" w:cs="宋体"/>
          <w:sz w:val="24"/>
          <w:highlight w:val="none"/>
          <w:lang w:val="zh-CN"/>
        </w:rPr>
        <w:t xml:space="preserve">小型和微型企业产品的价格给予10</w:t>
      </w:r>
      <w:r>
        <w:rPr>
          <w:rFonts w:hint="eastAsia" w:ascii="宋体" w:hAnsi="宋体" w:cs="宋体"/>
          <w:sz w:val="24"/>
          <w:highlight w:val="none"/>
          <w:lang w:val="zh-CN"/>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cs="宋体"/>
          <w:sz w:val="24"/>
          <w:highlight w:val="none"/>
          <w:lang w:val="zh-CN"/>
        </w:rPr>
        <w:t xml:space="preserve">注：同一报价人，上述三项价格扣除优惠不得重复享受。</w:t>
      </w:r>
      <w:r/>
    </w:p>
    <w:p>
      <w:pPr>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850"/>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投标供应商综合情况（</w:t>
      </w:r>
      <w:r>
        <w:rPr>
          <w:rFonts w:hint="eastAsia" w:ascii="宋体" w:hAnsi="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分）</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val="zh-CN" w:eastAsia="zh-CN"/>
        </w:rPr>
        <w:t xml:space="preserve">）公司偿付能力（</w:t>
      </w:r>
      <w:r>
        <w:rPr>
          <w:rFonts w:hint="eastAsia" w:ascii="宋体" w:hAnsi="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val="zh-CN" w:eastAsia="zh-CN"/>
        </w:rPr>
        <w:t xml:space="preserve">分）</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根据投标人或投标人总公司202</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年度</w:t>
      </w:r>
      <w:r>
        <w:rPr>
          <w:rFonts w:hint="eastAsia" w:ascii="宋体" w:hAnsi="宋体" w:eastAsia="宋体" w:cs="宋体"/>
          <w:bCs/>
          <w:color w:val="000000"/>
          <w:sz w:val="24"/>
          <w:szCs w:val="24"/>
          <w:highlight w:val="none"/>
        </w:rPr>
        <w:t xml:space="preserve">偿付能力充足率：偿付能力﹤100%，不得分；100%≤偿付能力﹤150%，得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分；150%≤偿付能力﹤200%，得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分；200%≤偿付能力，得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本项最高得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需</w:t>
      </w:r>
      <w:r>
        <w:rPr>
          <w:rFonts w:hint="eastAsia" w:ascii="宋体" w:hAnsi="宋体" w:cs="宋体"/>
          <w:b/>
          <w:bCs/>
          <w:sz w:val="24"/>
          <w:szCs w:val="24"/>
          <w:highlight w:val="none"/>
          <w:lang w:val="zh-CN"/>
        </w:rPr>
        <w:t xml:space="preserve">提供经过审计的偿付能力报告</w:t>
      </w:r>
      <w:r>
        <w:rPr>
          <w:rFonts w:hint="eastAsia" w:ascii="宋体" w:hAnsi="宋体" w:cs="宋体"/>
          <w:b/>
          <w:bCs/>
          <w:sz w:val="24"/>
          <w:szCs w:val="24"/>
          <w:highlight w:val="none"/>
          <w:lang w:val="en-US" w:eastAsia="zh-CN"/>
        </w:rPr>
        <w:t xml:space="preserve">扫描件</w:t>
      </w:r>
      <w:r>
        <w:rPr>
          <w:rFonts w:hint="eastAsia" w:ascii="宋体" w:hAnsi="宋体" w:eastAsia="宋体" w:cs="宋体"/>
          <w:b/>
          <w:bCs w:val="0"/>
          <w:color w:val="000000"/>
          <w:sz w:val="24"/>
          <w:szCs w:val="24"/>
          <w:highlight w:val="none"/>
        </w:rPr>
        <w:t xml:space="preserve">上传至投标文件</w:t>
      </w:r>
      <w:r>
        <w:rPr>
          <w:rFonts w:hint="eastAsia" w:ascii="宋体" w:hAnsi="宋体" w:eastAsia="宋体" w:cs="宋体"/>
          <w:b/>
          <w:bCs w:val="0"/>
          <w:color w:val="000000"/>
          <w:sz w:val="24"/>
          <w:szCs w:val="24"/>
          <w:highlight w:val="none"/>
          <w:lang w:val="en-US" w:eastAsia="zh-CN"/>
        </w:rPr>
        <w:t xml:space="preserve">并电子签章，不提供或提供不全本项不得分</w:t>
      </w:r>
      <w:r>
        <w:rPr>
          <w:rFonts w:hint="eastAsia" w:ascii="宋体" w:hAnsi="宋体" w:eastAsia="宋体" w:cs="宋体"/>
          <w:b/>
          <w:bCs w:val="0"/>
          <w:color w:val="000000"/>
          <w:sz w:val="24"/>
          <w:szCs w:val="24"/>
          <w:highlight w:val="none"/>
        </w:rPr>
        <w:t xml:space="preserve">。</w:t>
      </w: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（2）项目经验（</w:t>
      </w:r>
      <w:r>
        <w:rPr>
          <w:rFonts w:hint="eastAsia" w:ascii="宋体" w:hAnsi="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投标人</w:t>
      </w:r>
      <w:r>
        <w:rPr>
          <w:rFonts w:hint="eastAsia" w:ascii="宋体" w:hAnsi="宋体" w:cs="宋体"/>
          <w:bCs/>
          <w:color w:val="000000"/>
          <w:sz w:val="24"/>
          <w:szCs w:val="24"/>
          <w:highlight w:val="none"/>
          <w:lang w:val="en-US" w:eastAsia="zh-CN"/>
        </w:rPr>
        <w:t xml:space="preserve">近三年</w:t>
      </w:r>
      <w:r>
        <w:rPr>
          <w:rFonts w:hint="eastAsia" w:ascii="宋体" w:hAnsi="宋体" w:eastAsia="宋体" w:cs="宋体"/>
          <w:bCs/>
          <w:color w:val="000000"/>
          <w:sz w:val="24"/>
          <w:szCs w:val="24"/>
          <w:highlight w:val="none"/>
        </w:rPr>
        <w:t xml:space="preserve">以来（以合同签订或保单出具时间为准）承担过类似项目的，每提供一个得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需提供业绩相关证明材料</w:t>
      </w:r>
      <w:r>
        <w:rPr>
          <w:rFonts w:hint="eastAsia" w:ascii="宋体" w:hAnsi="宋体" w:eastAsia="宋体" w:cs="宋体"/>
          <w:b/>
          <w:bCs w:val="0"/>
          <w:color w:val="000000"/>
          <w:sz w:val="24"/>
          <w:szCs w:val="24"/>
          <w:highlight w:val="none"/>
          <w:lang w:eastAsia="zh-CN"/>
        </w:rPr>
        <w:t xml:space="preserve">扫描件</w:t>
      </w:r>
      <w:r>
        <w:rPr>
          <w:rFonts w:hint="eastAsia" w:ascii="宋体" w:hAnsi="宋体" w:eastAsia="宋体" w:cs="宋体"/>
          <w:b/>
          <w:bCs w:val="0"/>
          <w:color w:val="000000"/>
          <w:sz w:val="24"/>
          <w:szCs w:val="24"/>
          <w:highlight w:val="none"/>
        </w:rPr>
        <w:t xml:space="preserve">上传至投标文件</w:t>
      </w:r>
      <w:r>
        <w:rPr>
          <w:rFonts w:hint="eastAsia" w:ascii="宋体" w:hAnsi="宋体" w:eastAsia="宋体" w:cs="宋体"/>
          <w:b/>
          <w:bCs w:val="0"/>
          <w:color w:val="000000"/>
          <w:sz w:val="24"/>
          <w:szCs w:val="24"/>
          <w:highlight w:val="none"/>
          <w:lang w:val="en-US" w:eastAsia="zh-CN"/>
        </w:rPr>
        <w:t xml:space="preserve">并电子签章</w:t>
      </w:r>
      <w:r>
        <w:rPr>
          <w:rFonts w:hint="eastAsia" w:ascii="宋体" w:hAnsi="宋体" w:eastAsia="宋体" w:cs="宋体"/>
          <w:b/>
          <w:bCs w:val="0"/>
          <w:color w:val="000000"/>
          <w:sz w:val="24"/>
          <w:szCs w:val="24"/>
          <w:highlight w:val="none"/>
        </w:rPr>
        <w:t xml:space="preserve">，证明材料包括但不限于合同协议书、保险单及保险明细表等（涉密信息部分可涂黑），如有必要可另加以补充说明。所提供的材料必须反映出相关数据和内容，否则视同未提供。不按要求提供或不提供的不得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val="zh-CN"/>
        </w:rPr>
        <w:t xml:space="preserve">）服务团队（</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①具备特种设备安全管理和作业人员证的，每提供一人得1分，本项</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②具备特种设备检验人员证的，每提供一人得1分，本项</w:t>
      </w:r>
      <w:r>
        <w:rPr>
          <w:rFonts w:hint="eastAsia" w:ascii="宋体" w:hAnsi="宋体" w:eastAsia="宋体" w:cs="宋体"/>
          <w:bCs/>
          <w:color w:val="000000"/>
          <w:sz w:val="24"/>
          <w:szCs w:val="24"/>
          <w:highlight w:val="none"/>
        </w:rPr>
        <w:t xml:space="preserve">最高</w:t>
      </w:r>
      <w:r>
        <w:rPr>
          <w:rFonts w:hint="eastAsia" w:ascii="宋体" w:hAnsi="宋体" w:eastAsia="宋体" w:cs="宋体"/>
          <w:bCs/>
          <w:color w:val="000000"/>
          <w:sz w:val="24"/>
          <w:szCs w:val="24"/>
          <w:highlight w:val="none"/>
          <w:lang w:val="en-US" w:eastAsia="zh-CN"/>
        </w:rPr>
        <w:t xml:space="preserve">得2分；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③具备电梯安装维修工等相关技术职称的，每提供一人得1分，本项最高得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注：以上人员不可重复得分，</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val="en-US" w:eastAsia="zh-CN"/>
        </w:rPr>
        <w:t xml:space="preserve">提供以上人员的相关证书扫描件上传至投标文件并电子签章，否则不得分。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（4）电梯安全管理系统（</w:t>
      </w:r>
      <w:r>
        <w:rPr>
          <w:rFonts w:hint="eastAsia" w:ascii="宋体" w:hAnsi="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根据投标人提供的电梯智慧管理系统；包括：</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①采集安装电梯物联网设备的电梯基础数据，建立电梯基础数据库。可供使用单位、物业单位、维保单位查看（2分）；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②建立智慧电梯远程监测系统。可供使用单位、物业单位、维保单位查看（2分）；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③建立无纸化维保及在线报修系统（2分）。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val="en-US" w:eastAsia="zh-CN"/>
        </w:rPr>
        <w:t xml:space="preserve">提供平台界面截图及功能等相关证明材料复印件上传至投标文件中，不提供不得分。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荣誉奖励</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en-US"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投标人自20</w:t>
      </w:r>
      <w:r>
        <w:rPr>
          <w:rFonts w:hint="eastAsia" w:ascii="宋体" w:hAnsi="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en-US" w:eastAsia="zh-CN"/>
        </w:rPr>
        <w:t xml:space="preserve">年以来获得过市级及以上主管部门颁发的荣誉、奖励的</w:t>
      </w:r>
      <w:r>
        <w:rPr>
          <w:rFonts w:hint="eastAsia" w:ascii="宋体" w:hAnsi="宋体" w:cs="宋体"/>
          <w:bCs/>
          <w:color w:val="000000"/>
          <w:sz w:val="24"/>
          <w:szCs w:val="24"/>
          <w:highlight w:val="none"/>
          <w:lang w:val="en-US" w:eastAsia="zh-CN"/>
        </w:rPr>
        <w:t xml:space="preserve">，每提供一个</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lang w:val="en-US" w:eastAsia="zh-CN"/>
        </w:rPr>
        <w:t xml:space="preserve">最高得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分</w:t>
      </w:r>
      <w:r>
        <w:rPr>
          <w:rFonts w:hint="eastAsia" w:ascii="宋体" w:hAnsi="宋体" w:cs="宋体"/>
          <w:bCs/>
          <w:color w:val="000000"/>
          <w:sz w:val="24"/>
          <w:szCs w:val="24"/>
          <w:highlight w:val="none"/>
          <w:lang w:val="en-US"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val="en-US" w:eastAsia="zh-CN"/>
        </w:rPr>
        <w:t xml:space="preserve">提供相关证明材料扫描件</w:t>
      </w:r>
      <w:r>
        <w:rPr>
          <w:rFonts w:hint="eastAsia" w:ascii="宋体" w:hAnsi="宋体" w:eastAsia="宋体" w:cs="宋体"/>
          <w:b/>
          <w:bCs w:val="0"/>
          <w:color w:val="000000"/>
          <w:sz w:val="24"/>
          <w:szCs w:val="24"/>
          <w:highlight w:val="none"/>
        </w:rPr>
        <w:t xml:space="preserve">上传至投标文件</w:t>
      </w:r>
      <w:r>
        <w:rPr>
          <w:rFonts w:hint="eastAsia" w:ascii="宋体" w:hAnsi="宋体" w:eastAsia="宋体" w:cs="宋体"/>
          <w:b/>
          <w:bCs w:val="0"/>
          <w:color w:val="000000"/>
          <w:sz w:val="24"/>
          <w:szCs w:val="24"/>
          <w:highlight w:val="none"/>
          <w:lang w:val="en-US" w:eastAsia="zh-CN"/>
        </w:rPr>
        <w:t xml:space="preserve">并电子签章，不提供不得分</w:t>
      </w:r>
      <w:r>
        <w:rPr>
          <w:rFonts w:hint="eastAsia" w:ascii="宋体" w:hAnsi="宋体" w:eastAsia="宋体" w:cs="宋体"/>
          <w:b/>
          <w:bCs w:val="0"/>
          <w:color w:val="000000"/>
          <w:sz w:val="24"/>
          <w:szCs w:val="24"/>
          <w:highlight w:val="none"/>
        </w:rPr>
        <w:t xml:space="preserve">。</w:t>
      </w:r>
      <w:r/>
    </w:p>
    <w:p>
      <w:pPr>
        <w:pStyle w:val="1850"/>
        <w:ind w:left="0" w:firstLine="480"/>
        <w:jc w:val="left"/>
        <w:keepLines w:val="0"/>
        <w:keepNext w:val="0"/>
        <w:pageBreakBefore w:val="0"/>
        <w:spacing w:after="0" w:line="360" w:lineRule="auto"/>
        <w:rPr>
          <w:rFonts w:hint="default"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3、技术服务方案（</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lang w:val="en-US" w:eastAsia="zh-CN"/>
        </w:rPr>
        <w:t xml:space="preserve">分）</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ff0000"/>
          <w:sz w:val="24"/>
          <w:szCs w:val="24"/>
          <w:highlight w:val="none"/>
          <w:lang w:val="en-US" w:eastAsia="zh-CN"/>
        </w:rPr>
        <w:t xml:space="preserve">暗标</w:t>
      </w:r>
      <w:r>
        <w:rPr>
          <w:rFonts w:hint="eastAsia" w:ascii="宋体" w:hAnsi="宋体" w:cs="宋体"/>
          <w:b/>
          <w:bCs/>
          <w:color w:val="000000"/>
          <w:sz w:val="24"/>
          <w:szCs w:val="24"/>
          <w:highlight w:val="none"/>
          <w:lang w:val="en-US"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）对项目的理解及需求分析（</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根据投标人对本项目及背景理解认识的深刻性，需求分析的合理性、针对性、全面性进行综合分析比较。</w:t>
      </w:r>
      <w:r>
        <w:rPr>
          <w:rFonts w:hint="eastAsia" w:ascii="宋体" w:hAnsi="宋体" w:cs="宋体"/>
          <w:b w:val="0"/>
          <w:bCs/>
          <w:color w:val="000000"/>
          <w:sz w:val="24"/>
          <w:szCs w:val="24"/>
          <w:highlight w:val="none"/>
          <w:lang w:val="en-US" w:eastAsia="zh-CN"/>
        </w:rPr>
        <w:t xml:space="preserve">包括：</w:t>
      </w:r>
      <w:r>
        <w:rPr>
          <w:rFonts w:hint="eastAsia" w:ascii="宋体" w:hAnsi="宋体" w:eastAsia="宋体" w:cs="宋体"/>
          <w:b w:val="0"/>
          <w:bCs/>
          <w:color w:val="000000"/>
          <w:sz w:val="24"/>
          <w:szCs w:val="24"/>
          <w:highlight w:val="none"/>
          <w:lang w:eastAsia="zh-CN"/>
        </w:rPr>
        <w:t xml:space="preserve">①</w:t>
      </w:r>
      <w:r>
        <w:rPr>
          <w:rFonts w:hint="eastAsia" w:ascii="宋体" w:hAnsi="宋体" w:cs="宋体"/>
          <w:b w:val="0"/>
          <w:bCs/>
          <w:color w:val="000000"/>
          <w:sz w:val="24"/>
          <w:szCs w:val="24"/>
          <w:highlight w:val="none"/>
          <w:lang w:val="en-US" w:eastAsia="zh-CN"/>
        </w:rPr>
        <w:t xml:space="preserve">对本项目的需求分析</w:t>
      </w:r>
      <w:r>
        <w:rPr>
          <w:rFonts w:hint="eastAsia" w:ascii="宋体" w:hAnsi="宋体" w:eastAsia="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分）；②</w:t>
      </w:r>
      <w:r>
        <w:rPr>
          <w:rFonts w:hint="eastAsia" w:ascii="宋体" w:hAnsi="宋体" w:cs="宋体"/>
          <w:b w:val="0"/>
          <w:bCs/>
          <w:color w:val="000000"/>
          <w:sz w:val="24"/>
          <w:szCs w:val="24"/>
          <w:highlight w:val="none"/>
          <w:lang w:val="en-US" w:eastAsia="zh-CN"/>
        </w:rPr>
        <w:t xml:space="preserve">对本项目重点难点问题分析</w:t>
      </w:r>
      <w:r>
        <w:rPr>
          <w:rFonts w:hint="eastAsia" w:ascii="宋体" w:hAnsi="宋体" w:eastAsia="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）安全保障方案（</w:t>
      </w:r>
      <w:r>
        <w:rPr>
          <w:rFonts w:hint="eastAsia" w:ascii="宋体" w:hAnsi="宋体" w:eastAsia="宋体" w:cs="宋体"/>
          <w:b/>
          <w:bCs w:val="0"/>
          <w:color w:val="000000"/>
          <w:sz w:val="24"/>
          <w:szCs w:val="24"/>
          <w:highlight w:val="none"/>
          <w:lang w:val="en-US" w:eastAsia="zh-CN"/>
        </w:rPr>
        <w:t xml:space="preserve">18</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根据投标人提供的安全保障方案，包括：①维保阶段（</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分）；②维修阶段（</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分）；③现场日常使用阶段（</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eastAsia="宋体" w:cs="宋体"/>
          <w:b w:val="0"/>
          <w:bCs/>
          <w:color w:val="000000"/>
          <w:sz w:val="24"/>
          <w:szCs w:val="24"/>
          <w:highlight w:val="none"/>
          <w:lang w:val="en-US" w:eastAsia="zh-CN"/>
        </w:rPr>
        <w:t xml:space="preserve">18</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）保险条款（</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根据投标人是否能够提供响应保险责任的条款或相关约定内容进行评定。</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）理赔服务方案（</w:t>
      </w:r>
      <w:r>
        <w:rPr>
          <w:rFonts w:hint="eastAsia" w:ascii="宋体" w:hAnsi="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default" w:ascii="宋体" w:hAnsi="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eastAsia="zh-CN"/>
        </w:rPr>
        <w:t xml:space="preserve">根据投标人提供的理赔服务方案的科学性、合理性和可执行性，能覆盖招标人的需求进行综合评定。</w:t>
      </w:r>
      <w:r>
        <w:rPr>
          <w:rFonts w:hint="eastAsia" w:ascii="宋体" w:hAnsi="宋体" w:cs="宋体"/>
          <w:b w:val="0"/>
          <w:bCs/>
          <w:color w:val="000000"/>
          <w:sz w:val="24"/>
          <w:szCs w:val="24"/>
          <w:highlight w:val="none"/>
          <w:lang w:val="en-US" w:eastAsia="zh-CN"/>
        </w:rPr>
        <w:t xml:space="preserve">包括：</w:t>
      </w:r>
      <w:r>
        <w:rPr>
          <w:rFonts w:hint="default" w:ascii="宋体" w:hAnsi="宋体" w:cs="宋体"/>
          <w:b w:val="0"/>
          <w:bCs/>
          <w:color w:val="000000"/>
          <w:sz w:val="24"/>
          <w:szCs w:val="24"/>
          <w:highlight w:val="none"/>
          <w:lang w:val="en-US" w:eastAsia="zh-CN"/>
        </w:rPr>
        <w:t xml:space="preserve">①</w:t>
      </w:r>
      <w:r>
        <w:rPr>
          <w:rFonts w:hint="eastAsia" w:ascii="宋体" w:hAnsi="宋体" w:cs="宋体"/>
          <w:b w:val="0"/>
          <w:bCs/>
          <w:color w:val="000000"/>
          <w:sz w:val="24"/>
          <w:szCs w:val="24"/>
          <w:highlight w:val="none"/>
          <w:lang w:val="en-US" w:eastAsia="zh-CN"/>
        </w:rPr>
        <w:t xml:space="preserve">理赔接报（2分）；</w:t>
      </w:r>
      <w:r>
        <w:rPr>
          <w:rFonts w:hint="eastAsia" w:ascii="宋体" w:hAnsi="宋体" w:cs="宋体"/>
          <w:b w:val="0"/>
          <w:bCs/>
          <w:color w:val="000000"/>
          <w:sz w:val="24"/>
          <w:szCs w:val="24"/>
          <w:highlight w:val="none"/>
          <w:lang w:val="en-US" w:eastAsia="zh-CN"/>
        </w:rPr>
        <w:fldChar w:fldCharType="begin"/>
      </w:r>
      <w:r>
        <w:rPr>
          <w:rFonts w:hint="eastAsia" w:ascii="宋体" w:hAnsi="宋体" w:cs="宋体"/>
          <w:b w:val="0"/>
          <w:bCs/>
          <w:color w:val="000000"/>
          <w:sz w:val="24"/>
          <w:szCs w:val="24"/>
          <w:highlight w:val="none"/>
          <w:lang w:val="en-US" w:eastAsia="zh-CN"/>
        </w:rPr>
        <w:instrText xml:space="preserve"> = 2 \* GB3 \* MERGEFORMAT </w:instrText>
      </w:r>
      <w:r>
        <w:rPr>
          <w:rFonts w:hint="eastAsia" w:ascii="宋体" w:hAnsi="宋体" w:cs="宋体"/>
          <w:b w:val="0"/>
          <w:bCs/>
          <w:color w:val="000000"/>
          <w:sz w:val="24"/>
          <w:szCs w:val="24"/>
          <w:highlight w:val="none"/>
          <w:lang w:val="en-US" w:eastAsia="zh-CN"/>
        </w:rPr>
        <w:fldChar w:fldCharType="separate"/>
      </w:r>
      <w:r>
        <w:rPr>
          <w:rFonts w:hint="eastAsia" w:ascii="宋体" w:hAnsi="宋体" w:cs="宋体"/>
          <w:b w:val="0"/>
          <w:bCs/>
          <w:color w:val="000000"/>
          <w:sz w:val="24"/>
          <w:szCs w:val="24"/>
          <w:highlight w:val="none"/>
          <w:lang w:val="en-US" w:eastAsia="zh-CN"/>
        </w:rPr>
        <w:t xml:space="preserve">②</w:t>
      </w:r>
      <w:r>
        <w:rPr>
          <w:rFonts w:hint="eastAsia" w:ascii="宋体" w:hAnsi="宋体" w:cs="宋体"/>
          <w:b w:val="0"/>
          <w:bCs/>
          <w:color w:val="000000"/>
          <w:sz w:val="24"/>
          <w:szCs w:val="24"/>
          <w:highlight w:val="none"/>
          <w:lang w:val="en-US" w:eastAsia="zh-CN"/>
        </w:rPr>
        <w:fldChar w:fldCharType="end"/>
      </w:r>
      <w:r>
        <w:rPr>
          <w:rFonts w:hint="eastAsia" w:ascii="宋体" w:hAnsi="宋体" w:cs="宋体"/>
          <w:b w:val="0"/>
          <w:bCs/>
          <w:color w:val="000000"/>
          <w:sz w:val="24"/>
          <w:szCs w:val="24"/>
          <w:highlight w:val="none"/>
          <w:lang w:val="en-US" w:eastAsia="zh-CN"/>
        </w:rPr>
        <w:t xml:space="preserve">受理处置 (2分)；</w:t>
      </w:r>
      <w:r>
        <w:rPr>
          <w:rFonts w:hint="eastAsia" w:ascii="宋体" w:hAnsi="宋体" w:cs="宋体"/>
          <w:b w:val="0"/>
          <w:bCs/>
          <w:color w:val="000000"/>
          <w:sz w:val="24"/>
          <w:szCs w:val="24"/>
          <w:highlight w:val="none"/>
          <w:lang w:val="en-US" w:eastAsia="zh-CN"/>
        </w:rPr>
        <w:fldChar w:fldCharType="begin"/>
      </w:r>
      <w:r>
        <w:rPr>
          <w:rFonts w:hint="eastAsia" w:ascii="宋体" w:hAnsi="宋体" w:cs="宋体"/>
          <w:b w:val="0"/>
          <w:bCs/>
          <w:color w:val="000000"/>
          <w:sz w:val="24"/>
          <w:szCs w:val="24"/>
          <w:highlight w:val="none"/>
          <w:lang w:val="en-US" w:eastAsia="zh-CN"/>
        </w:rPr>
        <w:instrText xml:space="preserve"> = 3 \* GB3 \* MERGEFORMAT </w:instrText>
      </w:r>
      <w:r>
        <w:rPr>
          <w:rFonts w:hint="eastAsia" w:ascii="宋体" w:hAnsi="宋体" w:cs="宋体"/>
          <w:b w:val="0"/>
          <w:bCs/>
          <w:color w:val="000000"/>
          <w:sz w:val="24"/>
          <w:szCs w:val="24"/>
          <w:highlight w:val="none"/>
          <w:lang w:val="en-US" w:eastAsia="zh-CN"/>
        </w:rPr>
        <w:fldChar w:fldCharType="separate"/>
      </w:r>
      <w:r>
        <w:rPr>
          <w:rFonts w:hint="eastAsia" w:ascii="宋体" w:hAnsi="宋体" w:cs="宋体"/>
          <w:b w:val="0"/>
          <w:bCs/>
          <w:color w:val="000000"/>
          <w:sz w:val="24"/>
          <w:szCs w:val="24"/>
          <w:highlight w:val="none"/>
          <w:lang w:val="en-US" w:eastAsia="zh-CN"/>
        </w:rPr>
        <w:t xml:space="preserve">③</w:t>
      </w:r>
      <w:r>
        <w:rPr>
          <w:rFonts w:hint="eastAsia" w:ascii="宋体" w:hAnsi="宋体" w:cs="宋体"/>
          <w:b w:val="0"/>
          <w:bCs/>
          <w:color w:val="000000"/>
          <w:sz w:val="24"/>
          <w:szCs w:val="24"/>
          <w:highlight w:val="none"/>
          <w:lang w:val="en-US" w:eastAsia="zh-CN"/>
        </w:rPr>
        <w:fldChar w:fldCharType="end"/>
      </w:r>
      <w:r>
        <w:rPr>
          <w:rFonts w:hint="eastAsia" w:ascii="宋体" w:hAnsi="宋体" w:cs="宋体"/>
          <w:b w:val="0"/>
          <w:bCs/>
          <w:color w:val="000000"/>
          <w:sz w:val="24"/>
          <w:szCs w:val="24"/>
          <w:highlight w:val="none"/>
          <w:lang w:val="en-US" w:eastAsia="zh-CN"/>
        </w:rPr>
        <w:t xml:space="preserve">限时赔付（2分）；</w:t>
      </w:r>
      <w:r>
        <w:rPr>
          <w:rFonts w:hint="eastAsia" w:ascii="仿宋" w:hAnsi="仿宋" w:eastAsia="仿宋" w:cs="仿宋"/>
          <w:b w:val="0"/>
          <w:bCs/>
          <w:color w:val="000000"/>
          <w:sz w:val="24"/>
          <w:szCs w:val="24"/>
          <w:highlight w:val="none"/>
          <w:lang w:val="en-US" w:eastAsia="zh-CN"/>
        </w:rPr>
        <w:t xml:space="preserve">④</w:t>
      </w:r>
      <w:r>
        <w:rPr>
          <w:rFonts w:hint="eastAsia" w:ascii="宋体" w:hAnsi="宋体" w:cs="宋体"/>
          <w:b w:val="0"/>
          <w:bCs/>
          <w:color w:val="000000"/>
          <w:sz w:val="24"/>
          <w:szCs w:val="24"/>
          <w:highlight w:val="none"/>
          <w:lang w:val="en-US" w:eastAsia="zh-CN"/>
        </w:rPr>
        <w:t xml:space="preserve">理赔后的后续服务（2分）。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上述每条</w:t>
      </w: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风控服务方案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根据投标人提供的</w:t>
      </w:r>
      <w:r>
        <w:rPr>
          <w:rFonts w:hint="eastAsia" w:ascii="宋体" w:hAnsi="宋体" w:eastAsia="宋体" w:cs="宋体"/>
          <w:bCs/>
          <w:color w:val="000000"/>
          <w:sz w:val="24"/>
          <w:szCs w:val="24"/>
          <w:highlight w:val="none"/>
          <w:lang w:val="en-US" w:eastAsia="zh-CN"/>
        </w:rPr>
        <w:t xml:space="preserve">风控</w:t>
      </w:r>
      <w:r>
        <w:rPr>
          <w:rFonts w:hint="eastAsia" w:ascii="宋体" w:hAnsi="宋体" w:eastAsia="宋体" w:cs="宋体"/>
          <w:bCs/>
          <w:color w:val="000000"/>
          <w:sz w:val="24"/>
          <w:szCs w:val="24"/>
          <w:highlight w:val="none"/>
          <w:lang w:eastAsia="zh-CN"/>
        </w:rPr>
        <w:t xml:space="preserve">服务方案的科学性、合理性和可执行性，能覆盖招标人的需求进行综合评定。</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内容详实、需求贴合度高且条理清晰的，得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内容较为简单、可行、细节有待完善的，得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内容粗略、无针对性、基本满足采购需求的，得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未提供概述的此项不得分。本项最高得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）其他增值服务（</w:t>
      </w:r>
      <w:r>
        <w:rPr>
          <w:rFonts w:hint="eastAsia" w:ascii="宋体" w:hAnsi="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lang w:eastAsia="zh-CN"/>
        </w:rPr>
        <w:t xml:space="preserve">根据投标人可提供的其能力许可范围内的增值服务、个性化等特色服务进行综合评定。</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w:t>
      </w:r>
      <w:r>
        <w:rPr>
          <w:rFonts w:hint="eastAsia" w:ascii="宋体" w:hAnsi="宋体" w:eastAsia="宋体" w:cs="宋体"/>
          <w:bCs/>
          <w:color w:val="000000"/>
          <w:sz w:val="24"/>
          <w:szCs w:val="24"/>
          <w:highlight w:val="none"/>
          <w:lang w:eastAsia="zh-CN"/>
        </w:rPr>
        <w:t xml:space="preserve">有待</w:t>
      </w:r>
      <w:r>
        <w:rPr>
          <w:rFonts w:hint="eastAsia" w:ascii="宋体" w:hAnsi="宋体" w:eastAsia="宋体" w:cs="宋体"/>
          <w:bCs/>
          <w:color w:val="000000"/>
          <w:sz w:val="24"/>
          <w:szCs w:val="24"/>
          <w:highlight w:val="none"/>
        </w:rPr>
        <w:t xml:space="preserve">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 w:val="0"/>
          <w:bCs/>
          <w:color w:val="000000"/>
          <w:sz w:val="24"/>
          <w:szCs w:val="24"/>
          <w:highlight w:val="none"/>
          <w:lang w:eastAsia="zh-CN"/>
        </w:rPr>
        <w:t xml:space="preserve">未提供概述的此项不得分。本项最高得</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p>
    <w:p>
      <w:pPr>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3"/>
          <w:footerReference w:type="default" r:id="rId24"/>
          <w:footerReference w:type="first" r:id="rId25"/>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p>
    <w:p>
      <w:pPr>
        <w:rPr>
          <w:rFonts w:ascii="黑体" w:eastAsia="黑体"/>
          <w:bCs/>
          <w:color w:val="000000"/>
          <w:sz w:val="16"/>
          <w:szCs w:val="16"/>
          <w:highlight w:val="none"/>
        </w:rPr>
        <w:outlineLvl w:val="9"/>
      </w:pPr>
      <w:r>
        <w:rPr>
          <w:rFonts w:ascii="黑体" w:eastAsia="黑体"/>
          <w:bCs/>
          <w:color w:val="000000"/>
          <w:sz w:val="16"/>
          <w:szCs w:val="16"/>
          <w:highlight w:val="none"/>
        </w:rPr>
        <w:t xml:space="preserve">（</w:t>
      </w:r>
      <w:r>
        <w:rPr>
          <w:rFonts w:ascii="黑体" w:eastAsia="黑体"/>
          <w:bCs/>
          <w:color w:val="000000"/>
          <w:sz w:val="16"/>
          <w:szCs w:val="16"/>
          <w:highlight w:val="none"/>
        </w:rPr>
        <w:t xml:space="preserve">封面</w:t>
      </w:r>
      <w:r>
        <w:rPr>
          <w:rFonts w:ascii="黑体" w:eastAsia="黑体"/>
          <w:bCs/>
          <w:color w:val="000000"/>
          <w:sz w:val="16"/>
          <w:szCs w:val="16"/>
          <w:highlight w:val="none"/>
        </w:rPr>
        <w:t xml:space="preserve">：</w:t>
      </w:r>
      <w:r>
        <w:rPr>
          <w:rFonts w:ascii="黑体" w:eastAsia="黑体"/>
          <w:bCs/>
          <w:color w:val="000000"/>
          <w:sz w:val="16"/>
          <w:szCs w:val="16"/>
          <w:highlight w:val="none"/>
        </w:rPr>
        <w:t xml:space="preserve">中标后</w:t>
      </w:r>
      <w:r>
        <w:rPr>
          <w:rFonts w:ascii="黑体" w:eastAsia="黑体"/>
          <w:bCs/>
          <w:color w:val="000000"/>
          <w:sz w:val="16"/>
          <w:szCs w:val="16"/>
          <w:highlight w:val="none"/>
        </w:rPr>
        <w:t xml:space="preserve">打印</w:t>
      </w:r>
      <w:r>
        <w:rPr>
          <w:rFonts w:ascii="黑体" w:eastAsia="黑体"/>
          <w:bCs/>
          <w:color w:val="000000"/>
          <w:sz w:val="16"/>
          <w:szCs w:val="16"/>
          <w:highlight w:val="none"/>
        </w:rPr>
        <w:t xml:space="preserve">纸质</w:t>
      </w:r>
      <w:r>
        <w:rPr>
          <w:rFonts w:ascii="黑体" w:eastAsia="黑体"/>
          <w:bCs/>
          <w:color w:val="000000"/>
          <w:sz w:val="16"/>
          <w:szCs w:val="16"/>
          <w:highlight w:val="none"/>
        </w:rPr>
        <w:t xml:space="preserve">文件</w:t>
      </w:r>
      <w:r>
        <w:rPr>
          <w:rFonts w:ascii="黑体" w:eastAsia="黑体"/>
          <w:bCs/>
          <w:color w:val="000000"/>
          <w:sz w:val="16"/>
          <w:szCs w:val="16"/>
          <w:highlight w:val="none"/>
        </w:rPr>
        <w:t xml:space="preserve">时</w:t>
      </w:r>
      <w:r>
        <w:rPr>
          <w:rFonts w:ascii="黑体" w:eastAsia="黑体"/>
          <w:bCs/>
          <w:color w:val="000000"/>
          <w:sz w:val="16"/>
          <w:szCs w:val="16"/>
          <w:highlight w:val="none"/>
        </w:rPr>
        <w:t xml:space="preserve">使用</w:t>
      </w:r>
      <w:r>
        <w:rPr>
          <w:rFonts w:ascii="黑体" w:eastAsia="黑体"/>
          <w:bCs/>
          <w:color w:val="000000"/>
          <w:sz w:val="16"/>
          <w:szCs w:val="16"/>
          <w:highlight w:val="none"/>
        </w:rPr>
        <w:t xml:space="preserve">）</w:t>
      </w:r>
      <w:r>
        <w:rPr>
          <w:rFonts w:ascii="黑体" w:eastAsia="黑体"/>
          <w:bCs/>
          <w:color w:val="000000"/>
          <w:sz w:val="16"/>
          <w:szCs w:val="16"/>
          <w:highlight w:val="none"/>
        </w:rPr>
      </w:r>
      <w:r>
        <w:rPr>
          <w:sz w:val="16"/>
          <w:szCs w:val="16"/>
        </w:rPr>
      </w:r>
    </w:p>
    <w:p>
      <w:pPr>
        <w:rPr>
          <w:rFonts w:ascii="黑体" w:eastAsia="黑体"/>
          <w:bCs/>
          <w:color w:val="000000"/>
          <w:sz w:val="32"/>
          <w:highlight w:val="none"/>
        </w:rPr>
        <w:outlineLvl w:val="9"/>
      </w:pPr>
      <w:r>
        <w:rPr>
          <w:rFonts w:ascii="黑体" w:eastAsia="黑体"/>
          <w:bCs/>
          <w:color w:val="000000"/>
          <w:sz w:val="3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p>
    <w:p>
      <w:pPr>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p>
    <w:p>
      <w:pPr>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p>
    <w:p>
      <w:pPr>
        <w:pStyle w:val="1835"/>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ind w:left="0" w:firstLine="300"/>
        <w:jc w:val="both"/>
        <w:spacing w:line="360" w:lineRule="auto"/>
        <w:rPr>
          <w:rFonts w:hint="eastAsia" w:ascii="宋体" w:hAnsi="宋体" w:cs="宋体"/>
          <w:bCs/>
          <w:color w:val="000000"/>
          <w:sz w:val="30"/>
          <w:szCs w:val="30"/>
          <w:highlight w:val="none"/>
        </w:rPr>
        <w:outlineLvl w:val="9"/>
      </w:pPr>
      <w:r/>
      <w:bookmarkStart w:id="34" w:name="_Toc31708"/>
      <w:r/>
      <w:bookmarkStart w:id="35" w:name="_Toc3725"/>
      <w:r/>
      <w:r/>
    </w:p>
    <w:p>
      <w:pPr>
        <w:ind w:left="0" w:firstLine="300"/>
        <w:jc w:val="both"/>
        <w:spacing w:line="360" w:lineRule="auto"/>
        <w:rPr>
          <w:rFonts w:hint="eastAsia" w:ascii="宋体" w:hAnsi="宋体" w:cs="宋体"/>
          <w:bCs/>
          <w:color w:val="000000"/>
          <w:sz w:val="30"/>
          <w:szCs w:val="30"/>
          <w:highlight w:val="none"/>
        </w:rPr>
        <w:outlineLvl w:val="9"/>
      </w:pPr>
      <w:r>
        <w:rPr>
          <w:rFonts w:hint="eastAsia" w:ascii="宋体" w:hAnsi="宋体" w:cs="宋体"/>
          <w:bCs/>
          <w:color w:val="000000"/>
          <w:sz w:val="30"/>
          <w:szCs w:val="30"/>
          <w:highlight w:val="none"/>
        </w:rPr>
      </w:r>
      <w:r/>
    </w:p>
    <w:p>
      <w:pPr>
        <w:pStyle w:val="1628"/>
        <w:rPr>
          <w:rFonts w:hint="eastAsia"/>
        </w:rPr>
      </w:pPr>
      <w:r>
        <w:rPr>
          <w:rFonts w:hint="eastAsia"/>
        </w:rPr>
      </w:r>
      <w:r/>
    </w:p>
    <w:p>
      <w:pPr>
        <w:jc w:val="left"/>
        <w:spacing w:line="360" w:lineRule="auto"/>
        <w:rPr>
          <w:rFonts w:hint="eastAsia" w:ascii="宋体" w:hAnsi="宋体" w:eastAsia="宋体" w:cs="宋体"/>
          <w:bCs/>
          <w:color w:val="000000"/>
          <w:sz w:val="30"/>
          <w:szCs w:val="30"/>
          <w:highlight w:val="yellow"/>
          <w:lang w:eastAsia="zh-CN"/>
        </w:rPr>
        <w:outlineLvl w:val="9"/>
      </w:pPr>
      <w:r>
        <w:rPr>
          <w:rFonts w:hint="eastAsia" w:ascii="宋体" w:hAnsi="宋体" w:cs="宋体"/>
          <w:bCs/>
          <w:color w:val="000000"/>
          <w:sz w:val="30"/>
          <w:szCs w:val="30"/>
          <w:highlight w:val="none"/>
        </w:rPr>
        <w:t xml:space="preserve">采购项目编号</w:t>
      </w:r>
      <w:bookmarkEnd w:id="34"/>
      <w:r/>
      <w:bookmarkEnd w:id="35"/>
      <w:r>
        <w:rPr>
          <w:rFonts w:hint="eastAsia" w:ascii="宋体" w:hAnsi="宋体" w:cs="宋体"/>
          <w:bCs/>
          <w:color w:val="000000"/>
          <w:sz w:val="30"/>
          <w:szCs w:val="30"/>
          <w:highlight w:val="none"/>
          <w:lang w:eastAsia="zh-CN"/>
        </w:rPr>
        <w:t xml:space="preserve">：</w:t>
      </w:r>
      <w:r/>
    </w:p>
    <w:p>
      <w:pPr>
        <w:ind w:left="2100" w:hanging="2100"/>
        <w:jc w:val="both"/>
        <w:spacing w:line="360" w:lineRule="auto"/>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r>
      <w:r/>
    </w:p>
    <w:p>
      <w:pPr>
        <w:ind w:left="2100" w:hanging="2100"/>
        <w:jc w:val="both"/>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cs="Times New Roman"/>
          <w:b w:val="0"/>
          <w:bCs/>
          <w:color w:val="000000"/>
          <w:sz w:val="30"/>
          <w:szCs w:val="30"/>
          <w:highlight w:val="none"/>
          <w:lang w:eastAsia="zh-CN"/>
        </w:rPr>
        <w:t xml:space="preserve">太湖街道安置房小区电梯综合保险项目</w:t>
      </w:r>
      <w:r/>
    </w:p>
    <w:p>
      <w:pPr>
        <w:jc w:val="both"/>
        <w:spacing w:line="360" w:lineRule="auto"/>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jc w:val="both"/>
        <w:spacing w:line="360" w:lineRule="auto"/>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p>
    <w:p>
      <w:pPr>
        <w:ind w:left="0"/>
        <w:jc w:val="both"/>
        <w:spacing w:line="360" w:lineRule="auto"/>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ind w:left="2100" w:hanging="2100"/>
        <w:jc w:val="center"/>
        <w:spacing w:line="360" w:lineRule="auto"/>
        <w:rPr>
          <w:rFonts w:hint="eastAsia" w:ascii="宋体" w:hAnsi="宋体" w:cs="Times New Roman"/>
          <w:b w:val="0"/>
          <w:bCs/>
          <w:color w:val="000000"/>
          <w:sz w:val="30"/>
          <w:szCs w:val="30"/>
          <w:highlight w:val="none"/>
          <w:lang w:eastAsia="zh-CN"/>
        </w:rPr>
        <w:outlineLvl w:val="9"/>
      </w:pPr>
      <w:r>
        <w:rPr>
          <w:rFonts w:hint="eastAsia" w:ascii="宋体" w:hAnsi="宋体" w:cs="Times New Roman"/>
          <w:b w:val="0"/>
          <w:bCs/>
          <w:color w:val="000000"/>
          <w:sz w:val="30"/>
          <w:szCs w:val="30"/>
          <w:highlight w:val="none"/>
          <w:lang w:eastAsia="zh-CN"/>
        </w:rPr>
        <w:t xml:space="preserve">年  月  日</w:t>
      </w:r>
      <w:bookmarkStart w:id="36" w:name="一．报价函（格式）"/>
      <w:r/>
      <w:bookmarkEnd w:id="36"/>
      <w:r/>
      <w:r/>
    </w:p>
    <w:p>
      <w:pPr>
        <w:ind w:left="2100" w:hanging="2100"/>
        <w:jc w:val="both"/>
        <w:spacing w:line="360" w:lineRule="auto"/>
        <w:rPr>
          <w:rFonts w:hint="eastAsia" w:ascii="宋体" w:hAnsi="宋体" w:cs="Times New Roman"/>
          <w:b w:val="0"/>
          <w:bCs/>
          <w:color w:val="000000"/>
          <w:sz w:val="30"/>
          <w:szCs w:val="30"/>
          <w:highlight w:val="none"/>
          <w:lang w:eastAsia="zh-CN"/>
        </w:rPr>
        <w:sectPr>
          <w:footerReference w:type="default" r:id="rId26"/>
          <w:footerReference w:type="first" r:id="rId27"/>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Times New Roman"/>
          <w:b w:val="0"/>
          <w:bCs/>
          <w:color w:val="000000"/>
          <w:sz w:val="30"/>
          <w:szCs w:val="30"/>
          <w:highlight w:val="none"/>
          <w:lang w:eastAsia="zh-CN"/>
        </w:rPr>
      </w:r>
      <w:r/>
    </w:p>
    <w:p>
      <w:pPr>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p>
    <w:p>
      <w:pPr>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p>
    <w:p>
      <w:pPr>
        <w:spacing w:line="360" w:lineRule="auto"/>
        <w:rPr>
          <w:rFonts w:hint="eastAsia" w:ascii="宋体" w:hAnsi="宋体" w:eastAsia="宋体" w:cs="宋体"/>
          <w:bCs/>
          <w:color w:val="000000"/>
          <w:sz w:val="24"/>
          <w:szCs w:val="24"/>
          <w:highlight w:val="none"/>
          <w:u w:val="single"/>
          <w:lang w:eastAsia="zh-CN"/>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lang w:eastAsia="zh-CN"/>
        </w:rPr>
        <w:t xml:space="preserve">江苏成建项目管理有限公司</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eastAsia="zh-CN"/>
        </w:rPr>
        <w:t xml:space="preserve">（</w:t>
      </w:r>
      <w:r>
        <w:rPr>
          <w:rFonts w:hint="eastAsia" w:ascii="宋体" w:hAnsi="宋体" w:cs="宋体"/>
          <w:bCs/>
          <w:color w:val="000000"/>
          <w:sz w:val="24"/>
          <w:szCs w:val="24"/>
          <w:highlight w:val="none"/>
          <w:u w:val="single"/>
          <w:lang w:val="en-US" w:eastAsia="zh-CN"/>
        </w:rPr>
        <w:t xml:space="preserve">项目名称</w:t>
      </w:r>
      <w:r>
        <w:rPr>
          <w:rFonts w:hint="eastAsia" w:ascii="宋体" w:hAnsi="宋体" w:cs="宋体"/>
          <w:bCs/>
          <w:color w:val="000000"/>
          <w:sz w:val="24"/>
          <w:szCs w:val="24"/>
          <w:highlight w:val="none"/>
          <w:u w:val="single"/>
          <w:lang w:eastAsia="zh-CN"/>
        </w:rPr>
        <w:t xml:space="preserve">）</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none"/>
          <w:lang w:eastAsia="zh-CN"/>
        </w:rPr>
        <w:t xml:space="preserve">（</w:t>
      </w:r>
      <w:r>
        <w:rPr>
          <w:rFonts w:hint="eastAsia" w:ascii="宋体" w:hAnsi="宋体" w:cs="宋体"/>
          <w:bCs/>
          <w:color w:val="000000"/>
          <w:sz w:val="24"/>
          <w:szCs w:val="24"/>
          <w:highlight w:val="none"/>
          <w:u w:val="none"/>
          <w:lang w:val="en-US" w:eastAsia="zh-CN"/>
        </w:rPr>
        <w:t xml:space="preserve">采购包     </w:t>
      </w:r>
      <w:r>
        <w:rPr>
          <w:rFonts w:hint="eastAsia" w:ascii="宋体" w:hAnsi="宋体" w:cs="宋体"/>
          <w:bCs/>
          <w:color w:val="000000"/>
          <w:sz w:val="24"/>
          <w:szCs w:val="24"/>
          <w:highlight w:val="none"/>
          <w:u w:val="none"/>
          <w:lang w:eastAsia="zh-CN"/>
        </w:rPr>
        <w:t xml:space="preserve">）</w:t>
      </w:r>
      <w:r>
        <w:rPr>
          <w:rFonts w:hint="eastAsia" w:ascii="宋体" w:hAnsi="宋体" w:cs="宋体"/>
          <w:bCs/>
          <w:color w:val="000000"/>
          <w:sz w:val="24"/>
          <w:szCs w:val="24"/>
          <w:highlight w:val="none"/>
        </w:rPr>
        <w:t xml:space="preserve">的投标。</w:t>
      </w:r>
      <w:r/>
    </w:p>
    <w:p>
      <w:pPr>
        <w:numPr>
          <w:ilvl w:val="0"/>
          <w:numId w:val="3"/>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p>
    <w:p>
      <w:pPr>
        <w:numPr>
          <w:ilvl w:val="0"/>
          <w:numId w:val="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857"/>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w:t>
      </w:r>
      <w:r>
        <w:rPr>
          <w:rFonts w:hint="eastAsia" w:ascii="宋体" w:hAnsi="宋体" w:cs="宋体"/>
          <w:bCs/>
          <w:color w:val="000000"/>
          <w:sz w:val="24"/>
          <w:szCs w:val="24"/>
          <w:highlight w:val="none"/>
          <w:lang w:val="en-US" w:eastAsia="zh-CN"/>
        </w:rPr>
        <w:t xml:space="preserve">开标一览表</w:t>
      </w:r>
      <w:r>
        <w:rPr>
          <w:rFonts w:hint="eastAsia" w:ascii="宋体" w:hAnsi="宋体" w:cs="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3"/>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p>
    <w:p>
      <w:pPr>
        <w:rPr>
          <w:rFonts w:hint="eastAsia" w:ascii="宋体" w:hAnsi="宋体" w:cs="宋体"/>
          <w:bCs/>
          <w:color w:val="000000"/>
          <w:sz w:val="24"/>
          <w:szCs w:val="24"/>
          <w:highlight w:val="none"/>
        </w:rPr>
        <w:sectPr>
          <w:footerReference w:type="default" r:id="rId28"/>
          <w:footerReference w:type="first" r:id="rId29"/>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jc w:val="center"/>
        <w:rPr>
          <w:rFonts w:hint="eastAsia" w:ascii="宋体" w:hAnsi="宋体" w:cs="宋体"/>
          <w:bCs/>
          <w:color w:val="000000"/>
          <w:sz w:val="24"/>
          <w:szCs w:val="24"/>
          <w:highlight w:val="none"/>
        </w:rPr>
        <w:outlineLvl w:val="9"/>
      </w:pPr>
      <w:r/>
      <w:bookmarkStart w:id="37" w:name="报价方关于资格的声明函（格式）"/>
      <w:r/>
      <w:bookmarkEnd w:id="37"/>
      <w:r>
        <w:rPr>
          <w:rFonts w:hint="eastAsia" w:ascii="宋体" w:hAnsi="宋体" w:cs="宋体"/>
          <w:bCs/>
          <w:color w:val="000000"/>
          <w:sz w:val="24"/>
          <w:szCs w:val="24"/>
          <w:highlight w:val="none"/>
        </w:rPr>
        <w:t xml:space="preserve">关于资格的声明函</w:t>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jc w:val="center"/>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p>
    <w:p>
      <w:pPr>
        <w:jc w:val="center"/>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rPr>
        <w:t xml:space="preserve">项目</w:t>
      </w:r>
      <w:r>
        <w:rPr>
          <w:rFonts w:hint="eastAsia" w:ascii="宋体" w:hAnsi="宋体" w:cs="宋体"/>
          <w:bCs/>
          <w:color w:val="000000"/>
          <w:sz w:val="24"/>
          <w:szCs w:val="24"/>
          <w:highlight w:val="none"/>
          <w:u w:val="single"/>
        </w:rPr>
        <w:t xml:space="preserve">名称</w:t>
      </w:r>
      <w:r>
        <w:rPr>
          <w:rFonts w:hint="eastAsia" w:ascii="宋体" w:hAnsi="宋体" w:cs="宋体"/>
          <w:bCs/>
          <w:color w:val="000000"/>
          <w:sz w:val="24"/>
          <w:szCs w:val="24"/>
          <w:highlight w:val="none"/>
          <w:u w:val="single"/>
        </w:rPr>
        <w:t xml:space="preserve">（</w:t>
      </w:r>
      <w:r>
        <w:rPr>
          <w:rFonts w:hint="eastAsia" w:ascii="宋体" w:hAnsi="宋体" w:cs="宋体"/>
          <w:bCs/>
          <w:color w:val="000000"/>
          <w:sz w:val="24"/>
          <w:szCs w:val="24"/>
          <w:highlight w:val="none"/>
          <w:u w:val="single"/>
        </w:rPr>
        <w:t xml:space="preserve">采购包   </w:t>
      </w:r>
      <w:r>
        <w:rPr>
          <w:rFonts w:hint="eastAsia" w:ascii="宋体" w:hAnsi="宋体" w:cs="宋体"/>
          <w:bCs/>
          <w:color w:val="000000"/>
          <w:sz w:val="24"/>
          <w:szCs w:val="24"/>
          <w:highlight w:val="none"/>
          <w:u w:val="single"/>
        </w:rPr>
        <w:t xml:space="preserve">）</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p>
    <w:p>
      <w:pPr>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p>
    <w:p>
      <w:pP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826"/>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负责人</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t xml:space="preserve">授权委托书</w:t>
      </w:r>
      <w:r>
        <w:rPr>
          <w:rFonts w:hint="eastAsia" w:ascii="宋体" w:hAnsi="宋体" w:cs="宋体"/>
          <w:b/>
          <w:color w:val="000000"/>
          <w:sz w:val="24"/>
          <w:szCs w:val="24"/>
          <w:highlight w:val="none"/>
        </w:rPr>
        <w:t xml:space="preserve">（格式）：</w:t>
      </w:r>
      <w:r/>
    </w:p>
    <w:p>
      <w:pPr>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38" w:name="_Toc32348"/>
      <w:r/>
      <w:bookmarkStart w:id="39" w:name="_Toc2444"/>
      <w:r/>
      <w:r/>
    </w:p>
    <w:p>
      <w:pPr>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负责人</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授权委托书</w:t>
      </w:r>
      <w:bookmarkEnd w:id="38"/>
      <w:r/>
      <w:bookmarkEnd w:id="39"/>
      <w:r/>
      <w:r/>
    </w:p>
    <w:p>
      <w:pPr>
        <w:jc w:val="center"/>
        <w:spacing w:line="48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p>
    <w:p>
      <w:pPr>
        <w:jc w:val="center"/>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日期：</w:t>
      </w: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江苏成建项目管理有限公司</w:t>
      </w:r>
      <w:r>
        <w:rPr>
          <w:rFonts w:hint="eastAsia" w:ascii="宋体" w:hAnsi="宋体" w:cs="宋体"/>
          <w:bCs/>
          <w:color w:val="000000"/>
          <w:sz w:val="24"/>
          <w:szCs w:val="24"/>
          <w:highlight w:val="none"/>
        </w:rPr>
        <w:t xml:space="preserve">：</w:t>
      </w:r>
      <w:r/>
    </w:p>
    <w:p>
      <w:pPr>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rPr>
        <w:t xml:space="preserve">项目</w:t>
      </w:r>
      <w:r>
        <w:rPr>
          <w:rFonts w:hint="eastAsia" w:ascii="宋体" w:hAnsi="宋体" w:cs="宋体"/>
          <w:bCs/>
          <w:color w:val="000000"/>
          <w:sz w:val="24"/>
          <w:szCs w:val="24"/>
          <w:highlight w:val="none"/>
          <w:u w:val="single"/>
        </w:rPr>
        <w:t xml:space="preserve">名称</w:t>
      </w:r>
      <w:r>
        <w:rPr>
          <w:rFonts w:hint="eastAsia" w:ascii="宋体" w:hAnsi="宋体" w:cs="宋体"/>
          <w:bCs/>
          <w:color w:val="000000"/>
          <w:sz w:val="24"/>
          <w:szCs w:val="24"/>
          <w:highlight w:val="none"/>
          <w:u w:val="single"/>
        </w:rPr>
        <w:t xml:space="preserve">（</w:t>
      </w:r>
      <w:r>
        <w:rPr>
          <w:rFonts w:hint="eastAsia" w:ascii="宋体" w:hAnsi="宋体" w:cs="宋体"/>
          <w:bCs/>
          <w:color w:val="000000"/>
          <w:sz w:val="24"/>
          <w:szCs w:val="24"/>
          <w:highlight w:val="none"/>
          <w:u w:val="single"/>
        </w:rPr>
        <w:t xml:space="preserve">采购包   </w:t>
      </w:r>
      <w:r>
        <w:rPr>
          <w:rFonts w:hint="eastAsia" w:ascii="宋体" w:hAnsi="宋体" w:cs="宋体"/>
          <w:bCs/>
          <w:color w:val="000000"/>
          <w:sz w:val="24"/>
          <w:szCs w:val="24"/>
          <w:highlight w:val="none"/>
          <w:u w:val="single"/>
        </w:rPr>
        <w:t xml:space="preserve">）</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p>
    <w:p>
      <w:pPr>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p>
    <w:p>
      <w:pPr>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负责人</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身份证扫描件：</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73505"/>
                <wp:effectExtent l="0" t="0" r="0" b="0"/>
                <wp:docPr id="28" name="文本框 18"/>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负责人</w:t>
                            </w:r>
                            <w:r>
                              <w:rPr>
                                <w:rFonts w:hint="eastAsia" w:ascii="黑体" w:eastAsia="黑体"/>
                                <w:color w:val="000000"/>
                                <w:sz w:val="32"/>
                                <w:szCs w:val="32"/>
                                <w:lang w:eastAsia="zh-CN"/>
                              </w:rPr>
                              <w:t xml:space="preserve">）</w:t>
                            </w:r>
                            <w:r>
                              <w:rPr>
                                <w:rFonts w:hint="eastAsia" w:ascii="黑体" w:eastAsia="黑体"/>
                                <w:color w:val="000000"/>
                                <w:sz w:val="32"/>
                                <w:szCs w:val="32"/>
                              </w:rPr>
                              <w:t xml:space="preserve">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7" o:spid="_x0000_s27"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负责人</w:t>
                      </w:r>
                      <w:r>
                        <w:rPr>
                          <w:rFonts w:hint="eastAsia" w:ascii="黑体" w:eastAsia="黑体"/>
                          <w:color w:val="000000"/>
                          <w:sz w:val="32"/>
                          <w:szCs w:val="32"/>
                          <w:lang w:eastAsia="zh-CN"/>
                        </w:rPr>
                        <w:t xml:space="preserve">）</w:t>
                      </w:r>
                      <w:r>
                        <w:rPr>
                          <w:rFonts w:hint="eastAsia" w:ascii="黑体" w:eastAsia="黑体"/>
                          <w:color w:val="000000"/>
                          <w:sz w:val="32"/>
                          <w:szCs w:val="32"/>
                        </w:rPr>
                        <w:t xml:space="preserve">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1570" cy="1375410"/>
                <wp:effectExtent l="0" t="0" r="0" b="0"/>
                <wp:docPr id="29" name="文本框 19"/>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负责人</w:t>
                            </w:r>
                            <w:r>
                              <w:rPr>
                                <w:rFonts w:hint="eastAsia" w:ascii="黑体" w:eastAsia="黑体"/>
                                <w:color w:val="000000"/>
                                <w:sz w:val="32"/>
                                <w:szCs w:val="32"/>
                                <w:lang w:eastAsia="zh-CN"/>
                              </w:rPr>
                              <w:t xml:space="preserve">）</w:t>
                            </w:r>
                            <w:r>
                              <w:rPr>
                                <w:rFonts w:hint="eastAsia" w:ascii="黑体" w:eastAsia="黑体"/>
                                <w:color w:val="000000"/>
                                <w:sz w:val="32"/>
                                <w:szCs w:val="32"/>
                              </w:rPr>
                              <w:t xml:space="preserve">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8" o:spid="_x0000_s28"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负责人</w:t>
                      </w:r>
                      <w:r>
                        <w:rPr>
                          <w:rFonts w:hint="eastAsia" w:ascii="黑体" w:eastAsia="黑体"/>
                          <w:color w:val="000000"/>
                          <w:sz w:val="32"/>
                          <w:szCs w:val="32"/>
                          <w:lang w:eastAsia="zh-CN"/>
                        </w:rPr>
                        <w:t xml:space="preserve">）</w:t>
                      </w:r>
                      <w:r>
                        <w:rPr>
                          <w:rFonts w:hint="eastAsia" w:ascii="黑体" w:eastAsia="黑体"/>
                          <w:color w:val="000000"/>
                          <w:sz w:val="32"/>
                          <w:szCs w:val="32"/>
                        </w:rPr>
                        <w:t xml:space="preserve">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
          <w:bCs/>
          <w:color w:val="000000"/>
          <w:sz w:val="24"/>
          <w:szCs w:val="24"/>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p>
    <w:p>
      <w:pPr>
        <w:pStyle w:val="1657"/>
        <w:rPr>
          <w:rFonts w:hint="eastAsia"/>
        </w:rPr>
      </w:pP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2632710</wp:posOffset>
                </wp:positionH>
                <wp:positionV relativeFrom="paragraph">
                  <wp:posOffset>25400</wp:posOffset>
                </wp:positionV>
                <wp:extent cx="2400935" cy="1375410"/>
                <wp:effectExtent l="0" t="0" r="0" b="0"/>
                <wp:wrapNone/>
                <wp:docPr id="30"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no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9" o:spid="_x0000_s29" o:spt="202" type="#_x0000_t202" style="position:absolute;z-index:251662336;o:allowoverlap:true;o:allowincell:true;mso-position-horizontal-relative:text;margin-left:207.3pt;mso-position-horizontal:absolute;mso-position-vertical-relative:text;margin-top:2.0pt;mso-position-vertical:absolute;width:189.0pt;height:108.3pt;mso-wrap-distance-left:9.0pt;mso-wrap-distance-top:0.0pt;mso-wrap-distance-right:9.0pt;mso-wrap-distance-bottom:0.0pt;visibility:visible;" fillcolor="#FFFFFF" stroked="f">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31" name="文本框 20"/>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0" o:spid="_x0000_s30" o:spt="202" type="#_x0000_t202" style="position:absolute;z-index:251661312;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32"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w:t>
                            </w:r>
                            <w:r>
                              <w:rPr>
                                <w:rFonts w:hint="eastAsia" w:ascii="黑体" w:eastAsia="黑体"/>
                                <w:color w:val="000000"/>
                                <w:sz w:val="32"/>
                                <w:szCs w:val="32"/>
                                <w:lang w:val="en-US" w:eastAsia="zh-CN"/>
                              </w:rPr>
                              <w:t xml:space="preserve">正</w:t>
                            </w:r>
                            <w:r>
                              <w:rPr>
                                <w:rFonts w:hint="eastAsia" w:ascii="黑体" w:eastAsia="黑体"/>
                                <w:color w:val="000000"/>
                                <w:sz w:val="32"/>
                                <w:szCs w:val="32"/>
                              </w:rPr>
                              <w:t xml:space="preserve">面）</w:t>
                            </w:r>
                            <w:r/>
                          </w:p>
                          <w:p>
                            <w:r/>
                            <w:r/>
                          </w:p>
                        </w:txbxContent>
                      </wps:txbx>
                      <wps:bodyPr wrap="square" upright="1"/>
                    </wps:wsp>
                  </a:graphicData>
                </a:graphic>
              </wp:anchor>
            </w:drawing>
          </mc:Choice>
          <mc:Fallback>
            <w:pict>
              <v:shape id="shape 31" o:spid="_x0000_s31" o:spt="202" type="#_x0000_t202" style="position:absolute;z-index:251661312;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w:t>
                      </w:r>
                      <w:r>
                        <w:rPr>
                          <w:rFonts w:hint="eastAsia" w:ascii="黑体" w:eastAsia="黑体"/>
                          <w:color w:val="000000"/>
                          <w:sz w:val="32"/>
                          <w:szCs w:val="32"/>
                          <w:lang w:val="en-US" w:eastAsia="zh-CN"/>
                        </w:rPr>
                        <w:t xml:space="preserve">正</w:t>
                      </w:r>
                      <w:r>
                        <w:rPr>
                          <w:rFonts w:hint="eastAsia" w:ascii="黑体" w:eastAsia="黑体"/>
                          <w:color w:val="000000"/>
                          <w:sz w:val="32"/>
                          <w:szCs w:val="32"/>
                        </w:rPr>
                        <w:t xml:space="preserve">面）</w:t>
                      </w:r>
                      <w:r/>
                    </w:p>
                    <w:p>
                      <w:r/>
                      <w:r/>
                    </w:p>
                  </w:txbxContent>
                </v:textbox>
              </v:shape>
            </w:pict>
          </mc:Fallback>
        </mc:AlternateConten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上述每条</w:t>
      </w:r>
      <w:r/>
    </w:p>
    <w:p>
      <w:pPr>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lang w:val="en-US" w:eastAsia="zh-CN"/>
        </w:rPr>
        <w:t xml:space="preserve">上述每条</w:t>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负责人</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t xml:space="preserve">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w:t>
      </w:r>
      <w:r>
        <w:rPr>
          <w:rFonts w:hint="eastAsia" w:ascii="宋体" w:hAnsi="宋体"/>
          <w:b/>
          <w:sz w:val="28"/>
          <w:szCs w:val="28"/>
          <w:highlight w:val="none"/>
          <w:lang w:eastAsia="zh-CN"/>
        </w:rPr>
        <w:t xml:space="preserve">（</w:t>
      </w:r>
      <w:r>
        <w:rPr>
          <w:rFonts w:hint="eastAsia" w:ascii="宋体" w:hAnsi="宋体"/>
          <w:b/>
          <w:sz w:val="28"/>
          <w:szCs w:val="28"/>
          <w:highlight w:val="none"/>
          <w:lang w:val="en-US" w:eastAsia="zh-CN"/>
        </w:rPr>
        <w:t xml:space="preserve">负责人</w:t>
      </w:r>
      <w:r>
        <w:rPr>
          <w:rFonts w:hint="eastAsia" w:ascii="宋体" w:hAnsi="宋体"/>
          <w:b/>
          <w:sz w:val="28"/>
          <w:szCs w:val="28"/>
          <w:highlight w:val="none"/>
          <w:lang w:eastAsia="zh-CN"/>
        </w:rPr>
        <w:t xml:space="preserve">）</w:t>
      </w:r>
      <w:r>
        <w:rPr>
          <w:rFonts w:hint="eastAsia" w:ascii="宋体" w:hAnsi="宋体"/>
          <w:b/>
          <w:sz w:val="28"/>
          <w:szCs w:val="28"/>
          <w:highlight w:val="none"/>
        </w:rPr>
        <w:t xml:space="preserve">身份证明书（格式）</w:t>
      </w:r>
      <w:r/>
    </w:p>
    <w:p>
      <w:pPr>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p>
    <w:p>
      <w:pPr>
        <w:pStyle w:val="1657"/>
        <w:jc w:val="both"/>
        <w:rPr>
          <w:rFonts w:hint="eastAsia"/>
        </w:rPr>
      </w:pP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82395"/>
                <wp:effectExtent l="0" t="0" r="0" b="0"/>
                <wp:docPr id="33" name=""/>
                <wp:cNvGraphicFramePr/>
                <a:graphic xmlns:a="http://schemas.openxmlformats.org/drawingml/2006/main">
                  <a:graphicData uri="http://schemas.microsoft.com/office/word/2010/wordprocessingShape">
                    <wps:wsp>
                      <wps:cNvPr id="0" name=""/>
                      <wps:cNvSpPr txBox="1"/>
                      <wps:spPr bwMode="auto">
                        <a:xfrm>
                          <a:off x="0" y="0"/>
                          <a:ext cx="2400935" cy="1382395"/>
                        </a:xfrm>
                        <a:prstGeom prst="rect">
                          <a:avLst/>
                        </a:prstGeom>
                        <a:solidFill>
                          <a:srgbClr val="FFFFFF"/>
                        </a:solidFill>
                        <a:ln>
                          <a:no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负责人</w:t>
                            </w:r>
                            <w:r>
                              <w:rPr>
                                <w:rFonts w:hint="eastAsia" w:ascii="黑体" w:eastAsia="黑体"/>
                                <w:color w:val="000000"/>
                                <w:sz w:val="32"/>
                                <w:szCs w:val="32"/>
                                <w:lang w:eastAsia="zh-CN"/>
                              </w:rPr>
                              <w:t xml:space="preserve">）</w:t>
                            </w:r>
                            <w:r>
                              <w:rPr>
                                <w:rFonts w:hint="eastAsia" w:ascii="黑体" w:eastAsia="黑体"/>
                                <w:color w:val="000000"/>
                                <w:sz w:val="32"/>
                                <w:szCs w:val="32"/>
                              </w:rPr>
                              <w:t xml:space="preserve">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2" o:spid="_x0000_s32" o:spt="202" type="#_x0000_t202" style="width:189.0pt;height:108.8pt;mso-wrap-distance-left:0.0pt;mso-wrap-distance-top:0.0pt;mso-wrap-distance-right:0.0pt;mso-wrap-distance-bottom:0.0pt;visibility:visible;" fillcolor="#FFFFFF" stroked="f">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负责人</w:t>
                      </w:r>
                      <w:r>
                        <w:rPr>
                          <w:rFonts w:hint="eastAsia" w:ascii="黑体" w:eastAsia="黑体"/>
                          <w:color w:val="000000"/>
                          <w:sz w:val="32"/>
                          <w:szCs w:val="32"/>
                          <w:lang w:eastAsia="zh-CN"/>
                        </w:rPr>
                        <w:t xml:space="preserve">）</w:t>
                      </w:r>
                      <w:r>
                        <w:rPr>
                          <w:rFonts w:hint="eastAsia" w:ascii="黑体" w:eastAsia="黑体"/>
                          <w:color w:val="000000"/>
                          <w:sz w:val="32"/>
                          <w:szCs w:val="32"/>
                        </w:rPr>
                        <w:t xml:space="preserve">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2819400</wp:posOffset>
                </wp:positionH>
                <wp:positionV relativeFrom="paragraph">
                  <wp:posOffset>36830</wp:posOffset>
                </wp:positionV>
                <wp:extent cx="2401570" cy="1375410"/>
                <wp:effectExtent l="0" t="0" r="0" b="0"/>
                <wp:wrapNone/>
                <wp:docPr id="34" name="文本框 23"/>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负责人</w:t>
                            </w:r>
                            <w:r>
                              <w:rPr>
                                <w:rFonts w:hint="eastAsia" w:ascii="黑体" w:eastAsia="黑体"/>
                                <w:color w:val="000000"/>
                                <w:sz w:val="32"/>
                                <w:szCs w:val="32"/>
                                <w:lang w:eastAsia="zh-CN"/>
                              </w:rPr>
                              <w:t xml:space="preserve">）</w:t>
                            </w:r>
                            <w:r>
                              <w:rPr>
                                <w:rFonts w:hint="eastAsia" w:ascii="黑体" w:eastAsia="黑体"/>
                                <w:color w:val="000000"/>
                                <w:sz w:val="32"/>
                                <w:szCs w:val="32"/>
                              </w:rPr>
                              <w:t xml:space="preserve">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3" o:spid="_x0000_s33" o:spt="202" type="#_x0000_t202" style="position:absolute;z-index:251661312;o:allowoverlap:true;o:allowincell:true;mso-position-horizontal-relative:text;margin-left:222.0pt;mso-position-horizontal:absolute;mso-position-vertical-relative:text;margin-top:2.9pt;mso-position-vertical:absolute;width:189.1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负责人</w:t>
                      </w:r>
                      <w:r>
                        <w:rPr>
                          <w:rFonts w:hint="eastAsia" w:ascii="黑体" w:eastAsia="黑体"/>
                          <w:color w:val="000000"/>
                          <w:sz w:val="32"/>
                          <w:szCs w:val="32"/>
                          <w:lang w:eastAsia="zh-CN"/>
                        </w:rPr>
                        <w:t xml:space="preserve">）</w:t>
                      </w:r>
                      <w:r>
                        <w:rPr>
                          <w:rFonts w:hint="eastAsia" w:ascii="黑体" w:eastAsia="黑体"/>
                          <w:color w:val="000000"/>
                          <w:sz w:val="32"/>
                          <w:szCs w:val="32"/>
                        </w:rPr>
                        <w:t xml:space="preserve">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bookmarkStart w:id="40" w:name="_Toc19047"/>
      <w:r/>
      <w:bookmarkStart w:id="41" w:name="_Toc7396"/>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0"/>
      <w:r/>
      <w:bookmarkEnd w:id="41"/>
      <w:r>
        <w:rPr>
          <w:rFonts w:hint="eastAsia" w:ascii="宋体" w:hAnsi="宋体" w:cs="宋体"/>
          <w:b/>
          <w:color w:val="000000"/>
          <w:sz w:val="24"/>
          <w:szCs w:val="24"/>
          <w:highlight w:val="none"/>
        </w:rPr>
        <w:t xml:space="preserve">（格式）：</w:t>
      </w:r>
      <w:r/>
    </w:p>
    <w:p>
      <w:pPr>
        <w:ind w:left="0" w:right="0" w:firstLine="0"/>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sz w:val="24"/>
          <w:highlight w:val="none"/>
        </w:rPr>
      </w:pPr>
      <w:r>
        <w:rPr>
          <w:rFonts w:hint="eastAsia" w:ascii="宋体" w:hAnsi="宋体"/>
          <w:b/>
          <w:bCs/>
          <w:sz w:val="24"/>
          <w:highlight w:val="none"/>
        </w:rPr>
        <w:t xml:space="preserve">承诺书</w:t>
      </w:r>
      <w:r/>
    </w:p>
    <w:p>
      <w:pPr>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4"/>
          <w:highlight w:val="none"/>
        </w:rPr>
        <w:t xml:space="preserve">名称）在此承诺：</w:t>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1．本公司（单位）对本项目（</w:t>
      </w:r>
      <w:r>
        <w:rPr>
          <w:rFonts w:hint="eastAsia" w:ascii="宋体" w:hAnsi="宋体"/>
          <w:bCs/>
          <w:color w:val="000000"/>
          <w:sz w:val="24"/>
          <w:highlight w:val="none"/>
          <w:lang w:val="en-US" w:eastAsia="zh-CN"/>
        </w:rPr>
        <w:t xml:space="preserve">项目编号：        </w:t>
      </w:r>
      <w:r>
        <w:rPr>
          <w:rFonts w:hint="eastAsia" w:ascii="宋体" w:hAnsi="宋体"/>
          <w:bCs/>
          <w:color w:val="000000"/>
          <w:sz w:val="24"/>
          <w:highlight w:val="none"/>
        </w:rPr>
        <w:t xml:space="preserve">       ）</w:t>
      </w:r>
      <w:r>
        <w:rPr>
          <w:rFonts w:hint="eastAsia" w:ascii="宋体" w:hAnsi="宋体" w:cs="宋体"/>
          <w:bCs/>
          <w:color w:val="000000"/>
          <w:sz w:val="24"/>
          <w:szCs w:val="24"/>
          <w:highlight w:val="none"/>
          <w:u w:val="none"/>
          <w:lang w:eastAsia="zh-CN"/>
        </w:rPr>
        <w:t xml:space="preserve">（</w:t>
      </w:r>
      <w:r>
        <w:rPr>
          <w:rFonts w:hint="eastAsia" w:ascii="宋体" w:hAnsi="宋体" w:cs="宋体"/>
          <w:bCs/>
          <w:color w:val="000000"/>
          <w:sz w:val="24"/>
          <w:szCs w:val="24"/>
          <w:highlight w:val="none"/>
          <w:u w:val="none"/>
          <w:lang w:val="en-US" w:eastAsia="zh-CN"/>
        </w:rPr>
        <w:t xml:space="preserve">采购包     </w:t>
      </w:r>
      <w:r>
        <w:rPr>
          <w:rFonts w:hint="eastAsia" w:ascii="宋体" w:hAnsi="宋体" w:cs="宋体"/>
          <w:bCs/>
          <w:color w:val="000000"/>
          <w:sz w:val="24"/>
          <w:szCs w:val="24"/>
          <w:highlight w:val="none"/>
          <w:u w:val="none"/>
          <w:lang w:eastAsia="zh-CN"/>
        </w:rPr>
        <w:t xml:space="preserve">）</w:t>
      </w:r>
      <w:r/>
      <w:r>
        <w:rPr>
          <w:rFonts w:hint="eastAsia" w:ascii="宋体" w:hAnsi="宋体"/>
          <w:bCs/>
          <w:color w:val="000000"/>
          <w:sz w:val="24"/>
          <w:highlight w:val="none"/>
        </w:rPr>
        <w:t xml:space="preserve">提供符合采购要求的产品和服务；</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2．本公司（单位）具备履行合同所必需的服务和专业技术能力；</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3．本公司未被“信用中国”网站（www.creditchina.gov.cn）、中国政府采购网（www.ccgp.gov.cn）列入失信被执行人、重大税收违法案件当事人名单、政府采购严重违法失信行为记录名单。</w:t>
      </w:r>
      <w:r/>
    </w:p>
    <w:p>
      <w:pPr>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hint="eastAsia" w:ascii="宋体" w:hAnsi="宋体" w:eastAsia="宋体" w:cs="宋体"/>
          <w:color w:val="000000"/>
          <w:sz w:val="21"/>
          <w:szCs w:val="22"/>
          <w:highlight w:val="none"/>
        </w:rPr>
        <w:sectPr>
          <w:headerReference w:type="default" r:id="rId14"/>
          <w:headerReference w:type="first" r:id="rId15"/>
          <w:footerReference w:type="default" r:id="rId30"/>
          <w:footerReference w:type="first" r:id="rId31"/>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p>
    <w:p>
      <w:pPr>
        <w:pStyle w:val="1822"/>
        <w:rPr>
          <w:rFonts w:hint="eastAsia"/>
          <w:color w:val="000000"/>
          <w:highlight w:val="none"/>
        </w:rPr>
        <w:outlineLvl w:val="9"/>
      </w:pPr>
      <w:r>
        <w:rPr>
          <w:rFonts w:hint="eastAsia"/>
          <w:color w:val="000000"/>
          <w:highlight w:val="none"/>
        </w:rPr>
      </w:r>
      <w:r/>
    </w:p>
    <w:p>
      <w:pPr>
        <w:jc w:val="cente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cs="宋体"/>
          <w:b w:val="0"/>
          <w:bCs/>
          <w:color w:val="000000"/>
          <w:sz w:val="24"/>
          <w:szCs w:val="24"/>
          <w:highlight w:val="none"/>
          <w:lang w:val="en-US" w:eastAsia="zh-CN"/>
        </w:rPr>
        <w:t xml:space="preserve">政府采购</w:t>
      </w:r>
      <w:r>
        <w:rPr>
          <w:rFonts w:hint="eastAsia" w:ascii="宋体" w:hAnsi="宋体" w:eastAsia="宋体" w:cs="宋体"/>
          <w:b w:val="0"/>
          <w:bCs/>
          <w:color w:val="000000"/>
          <w:sz w:val="24"/>
          <w:szCs w:val="24"/>
          <w:highlight w:val="none"/>
        </w:rPr>
        <w:t xml:space="preserve">编号：</w:t>
      </w:r>
      <w:r/>
    </w:p>
    <w:p>
      <w:pPr>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jc w:val="cente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p>
    <w:p>
      <w:pP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Style w:val="1635"/>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7424" w:type="dxa"/>
            <w:vAlign w:val="center"/>
            <w:textDirection w:val="lrTb"/>
            <w:noWrap w:val="false"/>
          </w:tcPr>
          <w:p>
            <w:pPr>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cs="宋体"/>
                <w:bCs/>
                <w:color w:val="000000"/>
                <w:sz w:val="24"/>
                <w:szCs w:val="24"/>
                <w:highlight w:val="none"/>
                <w:u w:val="none"/>
                <w:lang w:val="en-US" w:eastAsia="zh-CN"/>
              </w:rPr>
              <w:t xml:space="preserve">太湖街道安置房小区电梯综合保险项目（采购包     ）</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u w:val="none"/>
                <w:lang w:val="en-US" w:eastAsia="zh-CN"/>
              </w:rPr>
              <w:t xml:space="preserve">单</w:t>
            </w:r>
            <w:r>
              <w:rPr>
                <w:rFonts w:hint="eastAsia" w:ascii="宋体" w:hAnsi="宋体" w:eastAsia="宋体" w:cs="宋体"/>
                <w:bCs/>
                <w:color w:val="000000"/>
                <w:sz w:val="24"/>
                <w:szCs w:val="24"/>
                <w:highlight w:val="none"/>
                <w:u w:val="none"/>
                <w:lang w:val="en-US" w:eastAsia="zh-CN"/>
              </w:rPr>
              <w:t xml:space="preserve">价</w:t>
            </w:r>
            <w:r/>
          </w:p>
        </w:tc>
        <w:tc>
          <w:tcPr>
            <w:tcW w:w="7424" w:type="dxa"/>
            <w:vAlign w:val="center"/>
            <w:textDirection w:val="lrTb"/>
            <w:noWrap w:val="false"/>
          </w:tcPr>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小写：   </w:t>
            </w:r>
            <w:r>
              <w:rPr>
                <w:rFonts w:hint="eastAsia" w:ascii="宋体" w:hAnsi="宋体" w:cs="宋体"/>
                <w:color w:val="000000"/>
                <w:sz w:val="24"/>
                <w:szCs w:val="24"/>
                <w:highlight w:val="none"/>
                <w:lang w:val="en-US" w:eastAsia="zh-CN"/>
              </w:rPr>
            </w:r>
            <w:r/>
          </w:p>
          <w:p>
            <w:pPr>
              <w:pStyle w:val="1657"/>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大写：</w:t>
            </w:r>
            <w:r/>
          </w:p>
          <w:p>
            <w:pPr>
              <w:pStyle w:val="1657"/>
              <w:rPr>
                <w:rFonts w:hint="default"/>
                <w:lang w:val="en-US" w:eastAsia="zh-CN"/>
              </w:rPr>
            </w:pPr>
            <w:r>
              <w:rPr>
                <w:rFonts w:hint="default"/>
                <w:lang w:val="en-US" w:eastAsia="zh-CN"/>
              </w:rPr>
            </w:r>
            <w:r/>
          </w:p>
        </w:tc>
      </w:tr>
      <w:tr>
        <w:trPr>
          <w:jc w:val="center"/>
          <w:trHeight w:val="527"/>
        </w:trPr>
        <w:tc>
          <w:tcPr>
            <w:tcW w:w="2419"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服务期限</w:t>
            </w:r>
            <w:r/>
          </w:p>
        </w:tc>
        <w:tc>
          <w:tcPr>
            <w:tcW w:w="7424"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w:t>
            </w:r>
            <w:r/>
          </w:p>
        </w:tc>
        <w:tc>
          <w:tcPr>
            <w:tcW w:w="7424" w:type="dxa"/>
            <w:vAlign w:val="center"/>
            <w:textDirection w:val="lrTb"/>
            <w:noWrap w:val="false"/>
          </w:tcPr>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小写：</w:t>
            </w:r>
            <w:r/>
          </w:p>
          <w:p>
            <w:pPr>
              <w:pStyle w:val="1657"/>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rPr>
                <w:rFonts w:hint="default"/>
                <w:lang w:val="en-US" w:eastAsia="zh-CN"/>
              </w:rPr>
            </w:pPr>
            <w:r>
              <w:rPr>
                <w:rFonts w:hint="eastAsia" w:ascii="宋体" w:hAnsi="宋体" w:cs="宋体"/>
                <w:color w:val="000000"/>
                <w:sz w:val="24"/>
                <w:szCs w:val="24"/>
                <w:highlight w:val="none"/>
                <w:lang w:val="en-US" w:eastAsia="zh-CN"/>
              </w:rPr>
              <w:t xml:space="preserve">大写：</w:t>
            </w:r>
            <w:r/>
          </w:p>
        </w:tc>
      </w:tr>
    </w:tbl>
    <w:p>
      <w:pP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lang w:eastAsia="zh-CN"/>
        </w:rPr>
        <w:t xml:space="preserve">江苏成建项目管理有限公司</w:t>
      </w:r>
      <w:r>
        <w:rPr>
          <w:rFonts w:hint="eastAsia" w:ascii="宋体" w:hAnsi="宋体" w:cs="宋体"/>
          <w:b/>
          <w:color w:val="000000"/>
          <w:sz w:val="24"/>
          <w:szCs w:val="24"/>
          <w:highlight w:val="none"/>
          <w:u w:val="single"/>
        </w:rPr>
        <w:t xml:space="preserve">有权将相关内容进行公示。</w:t>
      </w:r>
      <w:r/>
    </w:p>
    <w:p>
      <w:pPr>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left="720" w:hanging="720"/>
        <w:spacing w:line="400" w:lineRule="exact"/>
        <w:rPr>
          <w:rFonts w:hint="eastAsia" w:ascii="宋体" w:hAnsi="宋体" w:cs="宋体"/>
          <w:bCs/>
          <w:color w:val="000000"/>
          <w:sz w:val="24"/>
          <w:szCs w:val="24"/>
          <w:highlight w:val="none"/>
        </w:rPr>
        <w:sectPr>
          <w:footerReference w:type="default" r:id="rId32"/>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p>
    <w:p>
      <w:pPr>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报价明细表</w:t>
      </w:r>
      <w:r/>
    </w:p>
    <w:p>
      <w:pPr>
        <w:spacing w:line="480" w:lineRule="exact"/>
        <w:rPr>
          <w:rFonts w:hint="eastAsia" w:ascii="宋体" w:hAnsi="宋体" w:eastAsia="宋体" w:cs="宋体"/>
          <w:bCs/>
          <w:color w:val="000000"/>
          <w:sz w:val="24"/>
          <w:szCs w:val="24"/>
          <w:highlight w:val="none"/>
        </w:rPr>
        <w:outlineLvl w:val="9"/>
      </w:pPr>
      <w:r>
        <w:rPr>
          <w:rFonts w:hint="eastAsia" w:ascii="宋体" w:hAnsi="宋体"/>
          <w:bCs/>
          <w:sz w:val="24"/>
          <w:szCs w:val="24"/>
          <w:highlight w:val="none"/>
        </w:rPr>
        <w:t xml:space="preserve">项目名称：</w:t>
      </w:r>
      <w:r>
        <w:rPr>
          <w:rFonts w:hint="eastAsia" w:ascii="宋体" w:hAnsi="宋体"/>
          <w:bCs/>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p>
    <w:p>
      <w:pPr>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r>
      <w:r/>
    </w:p>
    <w:p>
      <w:pPr>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r>
      <w:r/>
    </w:p>
    <w:p>
      <w:pPr>
        <w:ind w:firstLine="420"/>
        <w:spacing w:line="400" w:lineRule="exact"/>
        <w:rPr>
          <w:rFonts w:ascii="宋体" w:hAnsi="宋体" w:eastAsia="宋体"/>
          <w:b/>
          <w:bCs/>
          <w:color w:val="000000"/>
          <w:highlight w:val="none"/>
          <w:lang w:val="en-US" w:eastAsia="zh-CN"/>
        </w:rPr>
        <w:outlineLvl w:val="9"/>
      </w:pPr>
      <w:r>
        <w:rPr>
          <w:rFonts w:hint="eastAsia" w:ascii="宋体" w:hAnsi="宋体"/>
          <w:b/>
          <w:bCs/>
          <w:color w:val="000000"/>
          <w:highlight w:val="none"/>
          <w:lang w:val="en-US" w:eastAsia="zh-CN"/>
        </w:rPr>
        <w:t xml:space="preserve">结合“三、项目技术要求和有关说明”采购需求自行编制。</w:t>
      </w:r>
      <w:r/>
    </w:p>
    <w:p>
      <w:pPr>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r>
      <w:r/>
    </w:p>
    <w:p>
      <w:pPr>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r>
      <w:r/>
    </w:p>
    <w:p>
      <w:pPr>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r>
      <w:r/>
    </w:p>
    <w:p>
      <w:pPr>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r>
      <w:r/>
    </w:p>
    <w:p>
      <w:pPr>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r>
      <w:r/>
    </w:p>
    <w:p>
      <w:pPr>
        <w:ind w:firstLine="480"/>
        <w:jc w:val="right"/>
        <w:spacing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p>
    <w:p>
      <w:pPr>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或负责人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或法定代表人授权代表签字或盖章：</w:t>
      </w:r>
      <w:r/>
    </w:p>
    <w:p>
      <w:pPr>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p>
    <w:p>
      <w:pPr>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项目技术要求和有关说明”的内容详细填写。</w:t>
      </w:r>
      <w:r/>
    </w:p>
    <w:p>
      <w:pPr>
        <w:pStyle w:val="1822"/>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822"/>
        <w:rPr>
          <w:rFonts w:hint="eastAsia" w:ascii="宋体" w:hAnsi="宋体" w:cs="宋体"/>
          <w:b/>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bookmarkStart w:id="42" w:name="_Toc17818"/>
      <w:r/>
      <w:bookmarkStart w:id="43" w:name="_Toc11575"/>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w:t>
      </w:r>
      <w:bookmarkEnd w:id="42"/>
      <w:r/>
      <w:bookmarkEnd w:id="43"/>
      <w:r>
        <w:rPr>
          <w:rFonts w:hint="eastAsia" w:ascii="宋体" w:hAnsi="宋体" w:eastAsia="宋体" w:cs="宋体"/>
          <w:b/>
          <w:color w:val="000000"/>
          <w:sz w:val="24"/>
          <w:szCs w:val="24"/>
          <w:highlight w:val="none"/>
          <w:lang w:eastAsia="zh-CN"/>
        </w:rPr>
        <w:t xml:space="preserve">政府采购投标及履约承诺函</w:t>
      </w:r>
      <w:r>
        <w:rPr>
          <w:rFonts w:hint="eastAsia" w:ascii="宋体" w:hAnsi="宋体" w:cs="宋体"/>
          <w:b/>
          <w:color w:val="000000"/>
          <w:sz w:val="24"/>
          <w:szCs w:val="24"/>
          <w:highlight w:val="none"/>
        </w:rPr>
        <w:t xml:space="preserve">（格式）：</w:t>
      </w:r>
      <w:r/>
    </w:p>
    <w:p>
      <w:pPr>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政府采购投标及履约承诺函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highlight w:val="none"/>
          <w:lang w:eastAsia="zh-CN"/>
        </w:rPr>
        <w:t xml:space="preserve">供应商</w:t>
      </w:r>
      <w:r>
        <w:rPr>
          <w:rFonts w:hint="eastAsia" w:ascii="宋体" w:hAnsi="宋体" w:eastAsia="宋体" w:cs="宋体"/>
          <w:sz w:val="24"/>
          <w:szCs w:val="24"/>
          <w:highlight w:val="none"/>
        </w:rPr>
        <w:t xml:space="preserve">名称）在此承诺：</w:t>
      </w:r>
      <w:r/>
    </w:p>
    <w:p>
      <w:pPr>
        <w:ind w:firstLine="482"/>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我公司(单位</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愿针对此次</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u w:val="single"/>
        </w:rPr>
        <w:t xml:space="preserve">采购</w:t>
      </w:r>
      <w:r>
        <w:rPr>
          <w:rFonts w:hint="eastAsia" w:ascii="宋体" w:hAnsi="宋体" w:eastAsia="宋体" w:cs="宋体"/>
          <w:bCs/>
          <w:sz w:val="24"/>
          <w:szCs w:val="24"/>
          <w:highlight w:val="none"/>
          <w:u w:val="single"/>
        </w:rPr>
        <w:t xml:space="preserve">包   </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rPr>
        <w:t xml:space="preserve">进行</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。我单位承诺如下：</w:t>
      </w:r>
      <w:r>
        <w:rPr>
          <w:rFonts w:hint="eastAsia" w:ascii="宋体" w:hAnsi="宋体" w:eastAsia="宋体" w:cs="宋体"/>
          <w:bCs/>
          <w:sz w:val="24"/>
          <w:szCs w:val="24"/>
          <w:highlight w:val="none"/>
        </w:rPr>
        <w:br w:type="textWrapping" w:clear="all"/>
      </w:r>
      <w:r>
        <w:rPr>
          <w:rFonts w:hint="eastAsia" w:ascii="宋体" w:hAnsi="宋体" w:eastAsia="宋体" w:cs="宋体"/>
          <w:bCs/>
          <w:sz w:val="24"/>
          <w:szCs w:val="24"/>
          <w:highlight w:val="none"/>
        </w:rPr>
        <w:t xml:space="preserve">    1.我单位本招标项目所提供的货物或服务未侵犯知识产权。</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2.本公司（单位）具备履行合同所必需的设备和专业技术能力</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我单位参与本项目</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前三年内，在经营活动中没有违法记录。</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.我单位参与本项目政府采购活动时不存在被有关部门禁止参与政府采购活动且在有效期内的情况。</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.我单位具备《中华人民共和国政府采购法》第二十二条规定的条件，承诺如下：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（2）我方符合法律、行政法规规定的其他条件。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.我单位未被列入失信被执行人、税收违法案件当事人名单、政府采购严重违法失信行为记录名单。</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.我方愿意向贵方提供任何与本项报价有关的数据、情况和技术资料。若贵方需要，我方愿意提供我方</w:t>
      </w:r>
      <w:r>
        <w:rPr>
          <w:rFonts w:hint="eastAsia" w:ascii="宋体" w:hAnsi="宋体" w:eastAsia="宋体" w:cs="宋体"/>
          <w:bCs/>
          <w:sz w:val="24"/>
          <w:szCs w:val="24"/>
          <w:highlight w:val="none"/>
          <w:lang w:eastAsia="zh-CN"/>
        </w:rPr>
        <w:t xml:space="preserve">做出</w:t>
      </w:r>
      <w:r>
        <w:rPr>
          <w:rFonts w:hint="eastAsia" w:ascii="宋体" w:hAnsi="宋体" w:eastAsia="宋体" w:cs="宋体"/>
          <w:bCs/>
          <w:sz w:val="24"/>
          <w:szCs w:val="24"/>
          <w:highlight w:val="none"/>
        </w:rPr>
        <w:t xml:space="preserve">的一切承诺的证明材料。</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.我方与其他供应商不存在单位负责人为同一人或者存在直接控股、管理关系。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.我方承诺未为本项目提供整体设计、规范编制或者项目管理、监理、检测等服务。</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.我单位参与该项目</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，严格遵循公平竞争的原则，不恶意串通，不妨碍其他</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的竞争行为，不损害采购人或者其他</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的合法权益。我单位已清楚，如违反上述要求，将作</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无效处理，并自动放弃贵单位自本项目起所有采购项目的投标事宜。</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rPr>
        <w:t xml:space="preserve">我单位如果</w:t>
      </w:r>
      <w:r>
        <w:rPr>
          <w:rFonts w:hint="eastAsia" w:ascii="宋体" w:hAnsi="宋体" w:eastAsia="宋体" w:cs="宋体"/>
          <w:bCs/>
          <w:sz w:val="24"/>
          <w:szCs w:val="24"/>
          <w:highlight w:val="none"/>
          <w:lang w:val="en-US" w:eastAsia="zh-CN"/>
        </w:rPr>
        <w:t xml:space="preserve">为中标单位</w:t>
      </w:r>
      <w:r>
        <w:rPr>
          <w:rFonts w:hint="eastAsia" w:ascii="宋体" w:hAnsi="宋体" w:eastAsia="宋体" w:cs="宋体"/>
          <w:bCs/>
          <w:sz w:val="24"/>
          <w:szCs w:val="24"/>
          <w:highlight w:val="none"/>
        </w:rPr>
        <w:t xml:space="preserve">，做到诚实守信，依照本项目</w:t>
      </w:r>
      <w:r>
        <w:rPr>
          <w:rFonts w:hint="eastAsia" w:ascii="宋体" w:hAnsi="宋体" w:eastAsia="宋体" w:cs="宋体"/>
          <w:bCs/>
          <w:sz w:val="24"/>
          <w:szCs w:val="24"/>
          <w:highlight w:val="none"/>
          <w:lang w:val="en-US" w:eastAsia="zh-CN"/>
        </w:rPr>
        <w:t xml:space="preserve">招标</w:t>
      </w:r>
      <w:r>
        <w:rPr>
          <w:rFonts w:hint="eastAsia" w:ascii="宋体" w:hAnsi="宋体" w:eastAsia="宋体" w:cs="宋体"/>
          <w:bCs/>
          <w:sz w:val="24"/>
          <w:szCs w:val="24"/>
          <w:highlight w:val="none"/>
          <w:lang w:eastAsia="zh-CN"/>
        </w:rPr>
        <w:t xml:space="preserve">文件</w:t>
      </w:r>
      <w:r>
        <w:rPr>
          <w:rFonts w:hint="eastAsia" w:ascii="宋体" w:hAnsi="宋体" w:eastAsia="宋体" w:cs="宋体"/>
          <w:bCs/>
          <w:sz w:val="24"/>
          <w:szCs w:val="24"/>
          <w:highlight w:val="none"/>
        </w:rPr>
        <w:t xml:space="preserve">需求内容、签署的采购合同及本单位在</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中所</w:t>
      </w:r>
      <w:r>
        <w:rPr>
          <w:rFonts w:hint="eastAsia" w:ascii="宋体" w:hAnsi="宋体" w:eastAsia="宋体" w:cs="宋体"/>
          <w:bCs/>
          <w:sz w:val="24"/>
          <w:szCs w:val="24"/>
          <w:highlight w:val="none"/>
          <w:lang w:val="en-US" w:eastAsia="zh-CN"/>
        </w:rPr>
        <w:t xml:space="preserve">做</w:t>
      </w:r>
      <w:r>
        <w:rPr>
          <w:rFonts w:hint="eastAsia" w:ascii="宋体" w:hAnsi="宋体" w:eastAsia="宋体" w:cs="宋体"/>
          <w:bCs/>
          <w:sz w:val="24"/>
          <w:szCs w:val="24"/>
          <w:highlight w:val="none"/>
        </w:rPr>
        <w:t xml:space="preserve">的一切承诺履约。</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.我单位承诺本项目的报价不低于我单位的成本价，不恶意低价谋取</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rPr>
        <w:t xml:space="preserve">；对本项目的报价负责，中标后将严格按照本项目</w:t>
      </w:r>
      <w:r>
        <w:rPr>
          <w:rFonts w:hint="eastAsia" w:ascii="宋体" w:hAnsi="宋体" w:eastAsia="宋体" w:cs="宋体"/>
          <w:bCs/>
          <w:sz w:val="24"/>
          <w:szCs w:val="24"/>
          <w:highlight w:val="none"/>
          <w:lang w:eastAsia="zh-CN"/>
        </w:rPr>
        <w:t xml:space="preserve">招标文件</w:t>
      </w:r>
      <w:r>
        <w:rPr>
          <w:rFonts w:hint="eastAsia" w:ascii="宋体" w:hAnsi="宋体" w:eastAsia="宋体" w:cs="宋体"/>
          <w:bCs/>
          <w:sz w:val="24"/>
          <w:szCs w:val="24"/>
          <w:highlight w:val="none"/>
        </w:rPr>
        <w:t xml:space="preserve">需求、签署的采购合同及我单位在投标中所作的全部承诺履行。我单位清楚，若我单位以“报价太低而无法履约”为理由放弃本项目</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rPr>
        <w:t xml:space="preserve">资格时，且愿意接受主管部门的处理处罚。若我单位</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本项目，我单位的报价明显低于其他</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.我单位已认真核实了</w:t>
      </w:r>
      <w:r>
        <w:rPr>
          <w:rFonts w:hint="eastAsia" w:ascii="宋体" w:hAnsi="宋体" w:eastAsia="宋体" w:cs="宋体"/>
          <w:bCs/>
          <w:sz w:val="24"/>
          <w:szCs w:val="24"/>
          <w:highlight w:val="none"/>
          <w:lang w:eastAsia="zh-CN"/>
        </w:rPr>
        <w:t xml:space="preserve">投标文件</w:t>
      </w:r>
      <w:r>
        <w:rPr>
          <w:rFonts w:hint="eastAsia" w:ascii="宋体" w:hAnsi="宋体" w:eastAsia="宋体" w:cs="宋体"/>
          <w:bCs/>
          <w:sz w:val="24"/>
          <w:szCs w:val="24"/>
          <w:highlight w:val="none"/>
        </w:rPr>
        <w:t xml:space="preserve">的全部内容，所有资料均为真实资料。我公司对</w:t>
      </w:r>
      <w:r>
        <w:rPr>
          <w:rFonts w:hint="eastAsia" w:ascii="宋体" w:hAnsi="宋体" w:eastAsia="宋体" w:cs="宋体"/>
          <w:bCs/>
          <w:sz w:val="24"/>
          <w:szCs w:val="24"/>
          <w:highlight w:val="none"/>
          <w:lang w:eastAsia="zh-CN"/>
        </w:rPr>
        <w:t xml:space="preserve">投标文件</w:t>
      </w:r>
      <w:r>
        <w:rPr>
          <w:rFonts w:hint="eastAsia" w:ascii="宋体" w:hAnsi="宋体" w:eastAsia="宋体" w:cs="宋体"/>
          <w:bCs/>
          <w:sz w:val="24"/>
          <w:szCs w:val="24"/>
          <w:highlight w:val="none"/>
        </w:rPr>
        <w:t xml:space="preserve">中全部资料的真实性负责，如被证实我公司的</w:t>
      </w:r>
      <w:r>
        <w:rPr>
          <w:rFonts w:hint="eastAsia" w:ascii="宋体" w:hAnsi="宋体" w:eastAsia="宋体" w:cs="宋体"/>
          <w:bCs/>
          <w:sz w:val="24"/>
          <w:szCs w:val="24"/>
          <w:highlight w:val="none"/>
          <w:lang w:eastAsia="zh-CN"/>
        </w:rPr>
        <w:t xml:space="preserve">投标文件</w:t>
      </w:r>
      <w:r>
        <w:rPr>
          <w:rFonts w:hint="eastAsia" w:ascii="宋体" w:hAnsi="宋体" w:eastAsia="宋体" w:cs="宋体"/>
          <w:bCs/>
          <w:sz w:val="24"/>
          <w:szCs w:val="24"/>
          <w:highlight w:val="none"/>
        </w:rPr>
        <w:t xml:space="preserve">中存在虚假资料的，则视为我单位隐瞒真实情况、提供虚假资料，我单位愿意接受主管部门</w:t>
      </w:r>
      <w:r>
        <w:rPr>
          <w:rFonts w:hint="eastAsia" w:ascii="宋体" w:hAnsi="宋体" w:eastAsia="宋体" w:cs="宋体"/>
          <w:bCs/>
          <w:sz w:val="24"/>
          <w:szCs w:val="24"/>
          <w:highlight w:val="none"/>
          <w:lang w:eastAsia="zh-CN"/>
        </w:rPr>
        <w:t xml:space="preserve">作出</w:t>
      </w:r>
      <w:r>
        <w:rPr>
          <w:rFonts w:hint="eastAsia" w:ascii="宋体" w:hAnsi="宋体" w:eastAsia="宋体" w:cs="宋体"/>
          <w:bCs/>
          <w:sz w:val="24"/>
          <w:szCs w:val="24"/>
          <w:highlight w:val="none"/>
        </w:rPr>
        <w:t xml:space="preserve">的行政处罚。</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.我单位承诺不非法转包、分包。</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.我单位承诺未参与本项目的采购需求、技术指标、商务指标等内容的设定，不存在对其他</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不公平的行为。</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w:t>
      </w:r>
      <w:r>
        <w:rPr>
          <w:rFonts w:hint="eastAsia" w:ascii="宋体" w:hAnsi="宋体" w:eastAsia="宋体" w:cs="宋体"/>
          <w:color w:val="auto"/>
          <w:sz w:val="24"/>
          <w:highlight w:val="none"/>
          <w:lang w:val="en-US" w:eastAsia="zh-CN"/>
        </w:rPr>
        <w:t xml:space="preserve">我单位承诺若中标</w:t>
      </w:r>
      <w:r>
        <w:rPr>
          <w:rFonts w:hint="eastAsia" w:ascii="宋体" w:hAnsi="宋体" w:cs="宋体"/>
          <w:color w:val="auto"/>
          <w:sz w:val="24"/>
          <w:highlight w:val="none"/>
        </w:rPr>
        <w:t xml:space="preserve">：在合同执行期间严格按照合同中约定执行农民工工资支付约定。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以上承诺，如有违反，愿依照国家相关法律处理，并承担由此给采购人带来的损失</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所有与本项目有关的函件请发往下列地址：</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址：__________________，邮政编码：__________________</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电 话：__________________，传 真：__________________</w:t>
      </w:r>
      <w:r>
        <w:rPr>
          <w:rFonts w:hint="eastAsia" w:ascii="宋体" w:hAnsi="宋体" w:eastAsia="宋体" w:cs="宋体"/>
          <w:bCs/>
          <w:sz w:val="24"/>
          <w:highlight w:val="none"/>
          <w:lang w:val="en-US" w:eastAsia="zh-CN"/>
        </w:rPr>
        <w:t xml:space="preserve">  </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代表姓名：_______________，职 务：__________________</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54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37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（盖章）：</w:t>
      </w:r>
      <w:r/>
    </w:p>
    <w:p>
      <w:pPr>
        <w:ind w:firstLine="1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或负责人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或法定代表人授权代表签字或盖章：</w:t>
      </w:r>
      <w:r/>
    </w:p>
    <w:p>
      <w:pPr>
        <w:ind w:firstLine="5160"/>
        <w:spacing w:line="360" w:lineRule="auto"/>
        <w:rPr>
          <w:rFonts w:hint="eastAsia" w:ascii="宋体" w:hAnsi="宋体" w:cs="宋体"/>
          <w:b/>
          <w:color w:val="000000"/>
          <w:sz w:val="24"/>
          <w:szCs w:val="24"/>
          <w:highlight w:val="none"/>
        </w:rPr>
      </w:pPr>
      <w:r>
        <w:rPr>
          <w:rFonts w:hint="eastAsia" w:ascii="宋体" w:hAnsi="宋体" w:eastAsia="宋体" w:cs="宋体"/>
          <w:bCs/>
          <w:sz w:val="24"/>
          <w:szCs w:val="24"/>
          <w:highlight w:val="none"/>
        </w:rPr>
        <w:t xml:space="preserve">日  期：</w:t>
      </w:r>
      <w:r/>
    </w:p>
    <w:p>
      <w:pPr>
        <w:numPr>
          <w:ilvl w:val="0"/>
          <w:numId w:val="0"/>
        </w:numPr>
        <w:rPr>
          <w:rFonts w:hint="eastAsia" w:ascii="宋体" w:hAnsi="宋体" w:eastAsia="宋体" w:cs="宋体"/>
          <w:b/>
          <w:color w:val="000000"/>
          <w:sz w:val="24"/>
          <w:szCs w:val="24"/>
          <w:highlight w:val="none"/>
          <w:lang w:eastAsia="zh-CN"/>
        </w:rPr>
        <w:outlineLvl w:val="2"/>
      </w:pPr>
      <w:r/>
      <w:bookmarkStart w:id="44" w:name="_Toc4377"/>
      <w:r/>
      <w:bookmarkStart w:id="45" w:name="_Toc28479"/>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4"/>
      <w:r/>
      <w:bookmarkEnd w:id="45"/>
      <w:r>
        <w:rPr>
          <w:rFonts w:hint="eastAsia" w:ascii="宋体" w:hAnsi="宋体" w:cs="宋体"/>
          <w:b/>
          <w:color w:val="000000"/>
          <w:sz w:val="24"/>
          <w:szCs w:val="24"/>
          <w:highlight w:val="none"/>
        </w:rPr>
        <w:t xml:space="preserve">（格式）：</w:t>
      </w:r>
      <w:r/>
    </w:p>
    <w:p>
      <w:pPr>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20"/>
        <w:jc w:val="center"/>
        <w:rPr>
          <w:rFonts w:hint="eastAsia" w:ascii="宋体" w:hAnsi="宋体" w:cs="宋体"/>
          <w:bCs/>
          <w:color w:val="000000"/>
          <w:sz w:val="24"/>
          <w:szCs w:val="24"/>
          <w:highlight w:val="none"/>
        </w:rPr>
        <w:outlineLvl w:val="9"/>
      </w:pPr>
      <w:r/>
      <w:bookmarkStart w:id="46" w:name="_Toc27971"/>
      <w:r/>
      <w:bookmarkStart w:id="47" w:name="_Toc25155"/>
      <w:r>
        <w:rPr>
          <w:rFonts w:hint="eastAsia" w:ascii="宋体" w:hAnsi="宋体" w:cs="宋体"/>
          <w:bCs/>
          <w:color w:val="000000"/>
          <w:sz w:val="24"/>
          <w:szCs w:val="24"/>
          <w:highlight w:val="none"/>
        </w:rPr>
        <w:t xml:space="preserve">投标偏离表</w:t>
      </w:r>
      <w:bookmarkEnd w:id="46"/>
      <w:r/>
      <w:bookmarkEnd w:id="47"/>
      <w:r/>
      <w:r/>
    </w:p>
    <w:p>
      <w:pPr>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供应商名称（盖章）                       政府采购编号：</w:t>
      </w:r>
      <w:r/>
    </w:p>
    <w:tbl>
      <w:tblPr>
        <w:tblStyle w:val="1635"/>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或负责人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或法定代表人授权代表签字或盖章：</w:t>
      </w:r>
      <w:r/>
    </w:p>
    <w:p>
      <w:pPr>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outlineLvl w:val="9"/>
      </w:pPr>
      <w:r/>
      <w:bookmarkStart w:id="48" w:name="_Toc2067"/>
      <w:r/>
      <w:bookmarkStart w:id="49" w:name="_Toc8176"/>
      <w:r>
        <w:rPr>
          <w:rFonts w:hint="eastAsia" w:ascii="宋体" w:hAnsi="宋体" w:cs="宋体"/>
          <w:bCs/>
          <w:color w:val="000000"/>
          <w:sz w:val="24"/>
          <w:szCs w:val="24"/>
          <w:highlight w:val="none"/>
        </w:rPr>
        <w:t xml:space="preserve">注：（1）本表不得删除，可自行延长；</w:t>
      </w:r>
      <w:bookmarkEnd w:id="48"/>
      <w:r/>
      <w:bookmarkEnd w:id="49"/>
      <w:r/>
      <w:r/>
    </w:p>
    <w:p>
      <w:pPr>
        <w:ind w:left="-214" w:firstLine="720"/>
        <w:rPr>
          <w:rFonts w:hint="eastAsia" w:ascii="宋体" w:hAnsi="宋体" w:cs="宋体"/>
          <w:bCs/>
          <w:color w:val="000000"/>
          <w:sz w:val="24"/>
          <w:szCs w:val="24"/>
          <w:highlight w:val="none"/>
        </w:rPr>
        <w:outlineLvl w:val="9"/>
      </w:pPr>
      <w:r/>
      <w:bookmarkStart w:id="50" w:name="_Toc511"/>
      <w:r/>
      <w:bookmarkStart w:id="51" w:name="_Toc22220"/>
      <w:r>
        <w:rPr>
          <w:rFonts w:hint="eastAsia" w:ascii="宋体" w:hAnsi="宋体" w:cs="宋体"/>
          <w:bCs/>
          <w:color w:val="000000"/>
          <w:sz w:val="24"/>
          <w:szCs w:val="24"/>
          <w:highlight w:val="none"/>
        </w:rPr>
        <w:t xml:space="preserve">（2）如无任何服务偏离，请于本表“偏离说明”中注明“无偏离”；</w:t>
      </w:r>
      <w:bookmarkEnd w:id="50"/>
      <w:r/>
      <w:bookmarkEnd w:id="51"/>
      <w:r/>
      <w:r/>
    </w:p>
    <w:p>
      <w:pPr>
        <w:ind w:firstLine="480"/>
        <w:rPr>
          <w:rFonts w:hint="eastAsia" w:ascii="宋体" w:hAnsi="宋体" w:cs="宋体"/>
          <w:bCs/>
          <w:color w:val="000000"/>
          <w:sz w:val="24"/>
          <w:szCs w:val="24"/>
          <w:highlight w:val="none"/>
        </w:rPr>
        <w:outlineLvl w:val="9"/>
      </w:pPr>
      <w:r/>
      <w:bookmarkStart w:id="52" w:name="_Toc10188"/>
      <w:r/>
      <w:bookmarkStart w:id="53" w:name="_Toc9412"/>
      <w:r>
        <w:rPr>
          <w:rFonts w:hint="eastAsia" w:ascii="宋体" w:hAnsi="宋体" w:cs="宋体"/>
          <w:bCs/>
          <w:color w:val="000000"/>
          <w:sz w:val="24"/>
          <w:szCs w:val="24"/>
          <w:highlight w:val="none"/>
        </w:rPr>
        <w:t xml:space="preserve">（3）如有服务偏离项，请于本表中列明偏离内容以及相关证明材料，如需要可自行延长，其余无偏离内容不须赘述。</w:t>
      </w:r>
      <w:bookmarkEnd w:id="52"/>
      <w:r/>
      <w:bookmarkEnd w:id="53"/>
      <w:r/>
      <w:r/>
    </w:p>
    <w:p>
      <w:pPr>
        <w:pStyle w:val="188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885"/>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885"/>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sectPr>
          <w:footerReference w:type="default" r:id="rId33"/>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p>
    <w:p>
      <w:pPr>
        <w:spacing w:line="400" w:lineRule="exact"/>
        <w:rPr>
          <w:rFonts w:hint="eastAsia"/>
          <w:highlight w:val="none"/>
        </w:rPr>
        <w:outlineLvl w:val="9"/>
      </w:pPr>
      <w:r>
        <w:rPr>
          <w:rFonts w:hint="eastAsia" w:ascii="宋体" w:hAnsi="宋体"/>
          <w:bCs/>
          <w:sz w:val="24"/>
          <w:szCs w:val="24"/>
          <w:highlight w:val="none"/>
        </w:rPr>
        <w:t xml:space="preserve">供应商名称（盖章）                        政府采购编号：</w:t>
      </w:r>
      <w:r/>
    </w:p>
    <w:tbl>
      <w:tblPr>
        <w:tblStyle w:val="1635"/>
        <w:tblW w:w="95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jc w:val="center"/>
          <w:trHeight w:val="565"/>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93"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331"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03"/>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93"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331" w:type="dxa"/>
            <w:vAlign w:val="top"/>
            <w:textDirection w:val="lrTb"/>
            <w:noWrap w:val="false"/>
          </w:tcPr>
          <w:p>
            <w:pPr>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93"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331"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682"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93"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92"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331"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682"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93"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92"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331"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p>
        </w:tc>
      </w:tr>
      <w:tr>
        <w:trPr>
          <w:cantSplit/>
          <w:jc w:val="center"/>
          <w:trHeight w:val="564"/>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93"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93"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p>
        </w:tc>
        <w:tc>
          <w:tcPr>
            <w:tcW w:w="159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331"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703"/>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947"/>
        </w:trPr>
        <w:tc>
          <w:tcPr>
            <w:tcW w:w="2682"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9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jc w:val="left"/>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1891"/>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p>
    <w:p>
      <w:pPr>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p>
    <w:p>
      <w:pPr>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政府采购编号：</w:t>
      </w:r>
      <w:r/>
    </w:p>
    <w:tbl>
      <w:tblPr>
        <w:tblStyle w:val="1635"/>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p>
        </w:tc>
        <w:tc>
          <w:tcPr>
            <w:tcW w:w="936"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p>
        </w:tc>
        <w:tc>
          <w:tcPr>
            <w:tcW w:w="652" w:type="dxa"/>
            <w:vAlign w:val="center"/>
            <w:textDirection w:val="lrTb"/>
            <w:noWrap w:val="false"/>
          </w:tcPr>
          <w:p>
            <w:pP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p>
        </w:tc>
        <w:tc>
          <w:tcPr>
            <w:tcW w:w="634" w:type="dxa"/>
            <w:vAlign w:val="center"/>
            <w:textDirection w:val="lrTb"/>
            <w:noWrap w:val="false"/>
          </w:tcPr>
          <w:p>
            <w:pP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p>
        </w:tc>
        <w:tc>
          <w:tcPr>
            <w:tcW w:w="1321"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p>
        </w:tc>
        <w:tc>
          <w:tcPr>
            <w:tcW w:w="1105"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p>
        </w:tc>
        <w:tc>
          <w:tcPr>
            <w:tcW w:w="1546"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p>
        </w:tc>
        <w:tc>
          <w:tcPr>
            <w:tcW w:w="2420" w:type="dxa"/>
            <w:vAlign w:val="center"/>
            <w:textDirection w:val="lrTb"/>
            <w:noWrap w:val="false"/>
          </w:tcPr>
          <w:p>
            <w:pPr>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p>
        </w:tc>
        <w:tc>
          <w:tcPr>
            <w:tcW w:w="93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p>
    <w:p>
      <w:pPr>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spacing w:before="5" w:line="360" w:lineRule="auto"/>
        <w:rPr>
          <w:rFonts w:hint="eastAsia" w:ascii="宋体" w:hAnsi="宋体" w:eastAsia="宋体" w:cs="宋体"/>
          <w:b/>
          <w:bCs/>
          <w:color w:val="000000"/>
          <w:sz w:val="24"/>
          <w:szCs w:val="24"/>
          <w:highlight w:val="none"/>
        </w:rPr>
      </w:pPr>
      <w:r/>
      <w:bookmarkStart w:id="57" w:name="_GoBack"/>
      <w:r/>
      <w:bookmarkEnd w:id="57"/>
      <w:r>
        <w:rPr>
          <w:rFonts w:hint="eastAsia" w:ascii="宋体" w:hAnsi="宋体" w:eastAsia="宋体" w:cs="宋体"/>
          <w:b/>
          <w:bCs/>
          <w:color w:val="000000"/>
          <w:sz w:val="24"/>
          <w:szCs w:val="24"/>
          <w:highlight w:val="none"/>
        </w:rPr>
        <w:t xml:space="preserve">法定代表人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或负责人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或法定代表人授权代表签字或盖章：</w:t>
      </w:r>
      <w:r/>
    </w:p>
    <w:p>
      <w:pPr>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p>
    <w:p>
      <w:pPr>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120"/>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eastAsia="宋体" w:cs="宋体"/>
          <w:bCs/>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p>
    <w:p>
      <w:pP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p>
    <w:p>
      <w:pPr>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p>
    <w:p>
      <w:pPr>
        <w:pStyle w:val="1835"/>
        <w:rPr>
          <w:rFonts w:hint="eastAsia"/>
          <w:color w:val="000000"/>
          <w:highlight w:val="none"/>
        </w:rPr>
        <w:outlineLvl w:val="9"/>
      </w:pPr>
      <w:r>
        <w:rPr>
          <w:rFonts w:hint="eastAsia"/>
          <w:color w:val="000000"/>
          <w:highlight w:val="none"/>
        </w:rPr>
      </w: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p>
    <w:p>
      <w:pPr>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.供应商提供的声明函与事实不符的，依照《政府采购法》第七十七条第一款的规定追究法律责任。</w:t>
      </w:r>
      <w:r/>
    </w:p>
    <w:p>
      <w:pPr>
        <w:numPr>
          <w:ilvl w:val="0"/>
          <w:numId w:val="0"/>
        </w:numPr>
        <w:rPr>
          <w:rFonts w:hint="eastAsia" w:ascii="宋体" w:hAnsi="宋体" w:eastAsia="宋体" w:cs="宋体"/>
          <w:b/>
          <w:color w:val="000000"/>
          <w:sz w:val="24"/>
          <w:szCs w:val="24"/>
          <w:highlight w:val="none"/>
          <w:lang w:eastAsia="zh-CN"/>
        </w:rPr>
        <w:outlineLvl w:val="2"/>
      </w:pPr>
      <w:r/>
      <w:bookmarkStart w:id="54" w:name="OLE_LINK13"/>
      <w:r/>
      <w:bookmarkStart w:id="55" w:name="OLE_LINK14"/>
      <w:r/>
      <w:bookmarkStart w:id="56" w:name="_Hlk6917152"/>
      <w:r>
        <w:rPr>
          <w:rFonts w:hint="eastAsia" w:ascii="宋体" w:hAnsi="宋体" w:eastAsia="宋体" w:cs="宋体"/>
          <w:b/>
          <w:color w:val="000000"/>
          <w:sz w:val="24"/>
          <w:szCs w:val="24"/>
          <w:highlight w:val="none"/>
          <w:lang w:eastAsia="zh-CN"/>
        </w:rPr>
        <w:t xml:space="preserve">（投标人）残疾人福利性单位声明函（格式）：</w:t>
      </w:r>
      <w:bookmarkEnd w:id="54"/>
      <w:r/>
      <w:bookmarkEnd w:id="55"/>
      <w:r/>
      <w:r/>
    </w:p>
    <w:p>
      <w:pPr>
        <w:spacing w:line="588" w:lineRule="exact"/>
        <w:rPr>
          <w:rFonts w:hint="eastAsia" w:ascii="宋体" w:hAnsi="宋体" w:cs="宋体"/>
          <w:b/>
          <w:color w:val="000000"/>
          <w:spacing w:val="6"/>
          <w:sz w:val="24"/>
          <w:szCs w:val="24"/>
          <w:highlight w:val="none"/>
        </w:rPr>
        <w:outlineLvl w:val="9"/>
      </w:pPr>
      <w:r>
        <w:rPr>
          <w:rFonts w:hint="eastAsia" w:ascii="宋体" w:hAnsi="宋体" w:cs="宋体"/>
          <w:b/>
          <w:color w:val="000000"/>
          <w:spacing w:val="6"/>
          <w:sz w:val="24"/>
          <w:szCs w:val="24"/>
          <w:highlight w:val="none"/>
        </w:rPr>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p>
    <w:p>
      <w:pPr>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bookmarkEnd w:id="56"/>
      <w:r/>
      <w:r/>
    </w:p>
    <w:p>
      <w:pPr>
        <w:pStyle w:val="188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88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88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885"/>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szCs w:val="24"/>
          <w:highlight w:val="none"/>
        </w:rPr>
      </w:r>
      <w:r/>
    </w:p>
    <w:p>
      <w:pPr>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）技术服务方案：</w:t>
      </w:r>
      <w:r/>
    </w:p>
    <w:p>
      <w:pPr>
        <w:pStyle w:val="188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88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885"/>
        <w:ind w:firstLine="480"/>
        <w:jc w:val="center"/>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暗标</w:t>
      </w:r>
      <w:r>
        <w:rPr>
          <w:rFonts w:hint="eastAsia" w:ascii="宋体" w:hAnsi="宋体" w:cs="宋体"/>
          <w:bCs/>
          <w:color w:val="000000"/>
          <w:sz w:val="24"/>
          <w:szCs w:val="24"/>
          <w:highlight w:val="none"/>
          <w:lang w:eastAsia="zh-CN"/>
        </w:rPr>
        <w:t xml:space="preserve">）</w:t>
      </w:r>
      <w:r/>
    </w:p>
    <w:p>
      <w:pPr>
        <w:pStyle w:val="188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88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p>
    <w:p>
      <w:pPr>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szCs w:val="24"/>
          <w:highlight w:val="none"/>
        </w:rPr>
      </w:r>
      <w:r/>
    </w:p>
    <w:p>
      <w:pPr>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p>
    <w:sectPr>
      <w:footerReference w:type="default" r:id="rId34"/>
      <w:footerReference w:type="even" r:id="rId35"/>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Cambria">
    <w:panose1 w:val="02040503050406030204"/>
  </w:font>
  <w:font w:name="Symbol">
    <w:panose1 w:val="05050102010706020507"/>
  </w:font>
  <w:font w:name="Wingdings">
    <w:panose1 w:val="05000000000000000000"/>
  </w:font>
  <w:font w:name="微软雅黑">
    <w:panose1 w:val="020B050302020402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rPr>
        <w:rStyle w:val="1855"/>
      </w:rPr>
      <w:framePr w:wrap="around" w:vAnchor="text" w:hAnchor="margin" w:xAlign="center" w:y="1"/>
    </w:pPr>
    <w:r>
      <w:fldChar w:fldCharType="begin"/>
    </w:r>
    <w:r>
      <w:rPr>
        <w:rStyle w:val="1855"/>
      </w:rPr>
      <w:instrText xml:space="preserve">PAGE  </w:instrText>
    </w:r>
    <w:r>
      <w:fldChar w:fldCharType="separate"/>
    </w:r>
    <w:r>
      <w:rPr>
        <w:rStyle w:val="1855"/>
      </w:rPr>
      <w:t xml:space="preserve">1</w:t>
    </w:r>
    <w:r>
      <w:fldChar w:fldCharType="end"/>
    </w:r>
    <w:r/>
  </w:p>
  <w:p>
    <w:pPr>
      <w:pStyle w:val="183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fldChar w:fldCharType="begin"/>
                          </w:r>
                          <w:r>
                            <w:instrText xml:space="preserve"> PAGE  \* MERGEFORMAT </w:instrText>
                          </w:r>
                          <w:r>
                            <w:fldChar w:fldCharType="separate"/>
                          </w:r>
                          <w:r>
                            <w:rPr>
                              <w:sz w:val="18"/>
                            </w:rPr>
                            <w:t xml:space="preserve">54</w:t>
                          </w:r>
                          <w:r>
                            <w:rPr>
                              <w:sz w:val="18"/>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fldChar w:fldCharType="begin"/>
                    </w:r>
                    <w:r>
                      <w:instrText xml:space="preserve"> PAGE  \* MERGEFORMAT </w:instrText>
                    </w:r>
                    <w:r>
                      <w:fldChar w:fldCharType="separate"/>
                    </w:r>
                    <w:r>
                      <w:rPr>
                        <w:sz w:val="18"/>
                      </w:rPr>
                      <w:t xml:space="preserve">54</w:t>
                    </w:r>
                    <w:r>
                      <w:rPr>
                        <w:sz w:val="18"/>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both"/>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center"/>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3036570</wp:posOffset>
              </wp:positionH>
              <wp:positionV relativeFrom="paragraph">
                <wp:posOffset>-10159</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4384;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p>
                          <w:r/>
                          <w:r/>
                        </w:p>
                      </w:txbxContent>
                    </wps:txbx>
                    <wps:bodyPr wrap="none" lIns="0" tIns="0" rIns="0" bIns="0" upright="1">
                      <a:spAutoFit/>
                    </wps:bodyPr>
                  </wps:wsp>
                </a:graphicData>
              </a:graphic>
            </wp:anchor>
          </w:drawing>
        </mc:Choice>
        <mc:Fallback>
          <w:pict>
            <v:shape id="shape 14" o:spid="_x0000_s1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lang w:val="en-US" w:eastAsia="zh-CN"/>
      </w:rPr>
      <w:t xml:space="preserve">54</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p>
                          <w:r/>
                          <w:r/>
                        </w:p>
                      </w:txbxContent>
                    </wps:txbx>
                    <wps:bodyPr wrap="none" lIns="0" tIns="0" rIns="0" bIns="0" upright="1">
                      <a:spAutoFit/>
                    </wps:bodyPr>
                  </wps:wsp>
                </a:graphicData>
              </a:graphic>
            </wp:anchor>
          </w:drawing>
        </mc:Choice>
        <mc:Fallback>
          <w:pict>
            <v:shape id="shape 17" o:spid="_x0000_s1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p>
                          <w:r/>
                          <w:r/>
                        </w:p>
                      </w:txbxContent>
                    </wps:txbx>
                    <wps:bodyPr wrap="none" lIns="0" tIns="0" rIns="0" bIns="0" upright="1">
                      <a:spAutoFit/>
                    </wps:bodyPr>
                  </wps:wsp>
                </a:graphicData>
              </a:graphic>
            </wp:anchor>
          </w:drawing>
        </mc:Choice>
        <mc:Fallback>
          <w:pict>
            <v:shape id="shape 18" o:spid="_x0000_s1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3036570</wp:posOffset>
              </wp:positionH>
              <wp:positionV relativeFrom="paragraph">
                <wp:posOffset>-10159</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p>
                          <w:r/>
                          <w:r/>
                        </w:p>
                      </w:txbxContent>
                    </wps:txbx>
                    <wps:bodyPr wrap="none" lIns="0" tIns="0" rIns="0" bIns="0" upright="1">
                      <a:spAutoFit/>
                    </wps:bodyPr>
                  </wps:wsp>
                </a:graphicData>
              </a:graphic>
            </wp:anchor>
          </w:drawing>
        </mc:Choice>
        <mc:Fallback>
          <w:pict>
            <v:shape id="shape 19" o:spid="_x0000_s19" o:spt="202" type="#_x0000_t202" style="position:absolute;z-index:25166745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p>
                          <w:r/>
                          <w:r/>
                        </w:p>
                      </w:txbxContent>
                    </wps:txbx>
                    <wps:bodyPr wrap="none" lIns="0" tIns="0" rIns="0" bIns="0" upright="1">
                      <a:spAutoFit/>
                    </wps:bodyPr>
                  </wps:wsp>
                </a:graphicData>
              </a:graphic>
            </wp:anchor>
          </w:drawing>
        </mc:Choice>
        <mc:Fallback>
          <w:pict>
            <v:shape id="shape 20" o:spid="_x0000_s2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9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wps:txbx>
                    <wps:bodyPr wrap="none" lIns="0" tIns="0" rIns="0" bIns="0" upright="1">
                      <a:spAutoFit/>
                    </wps:bodyPr>
                  </wps:wsp>
                </a:graphicData>
              </a:graphic>
            </wp:anchor>
          </w:drawing>
        </mc:Choice>
        <mc:Fallback>
          <w:pict>
            <v:shape id="shape 21" o:spid="_x0000_s2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9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9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wps:txbx>
                    <wps:bodyPr wrap="none" lIns="0" tIns="0" rIns="0" bIns="0" upright="1">
                      <a:spAutoFit/>
                    </wps:bodyPr>
                  </wps:wsp>
                </a:graphicData>
              </a:graphic>
            </wp:anchor>
          </w:drawing>
        </mc:Choice>
        <mc:Fallback>
          <w:pict>
            <v:shape id="shape 22" o:spid="_x0000_s2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9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3" o:spid="_x0000_s2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24" o:spid="_x0000_s2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25" o:spid="_x0000_s2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5"/>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5"/>
      <w:spacing w:after="240"/>
      <w:rPr>
        <w:rStyle w:val="1855"/>
      </w:rPr>
      <w:framePr w:wrap="around" w:vAnchor="text" w:hAnchor="margin" w:xAlign="center" w:y="1"/>
    </w:pPr>
    <w:r>
      <w:fldChar w:fldCharType="begin"/>
    </w:r>
    <w:r>
      <w:rPr>
        <w:rStyle w:val="1855"/>
      </w:rPr>
      <w:instrText xml:space="preserve">PAGE  </w:instrText>
    </w:r>
    <w:r>
      <w:fldChar w:fldCharType="end"/>
    </w:r>
    <w:r/>
  </w:p>
  <w:p>
    <w:pPr>
      <w:pStyle w:val="1835"/>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8"/>
      <w:jc w:val="both"/>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8"/>
      <w:jc w:val="both"/>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8"/>
      <w:jc w:val="both"/>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8"/>
      <w:jc w:val="both"/>
      <w:rPr>
        <w:rFonts w:ascii="宋体" w:hAnsi="宋体" w:cs="宋体"/>
        <w:szCs w:val="18"/>
      </w:rPr>
      <w:pBdr>
        <w:top w:val="none" w:color="000000" w:sz="0" w:space="0"/>
        <w:left w:val="none" w:color="000000" w:sz="0" w:space="0"/>
        <w:bottom w:val="none" w:color="000000" w:sz="0" w:space="1"/>
        <w:right w:val="none" w:color="000000" w:sz="0" w:space="0"/>
        <w:between w:val="none" w:color="000000" w:sz="0" w:space="0"/>
      </w:pBdr>
    </w:pPr>
    <w:r>
      <w:rPr>
        <w:rFonts w:ascii="宋体" w:hAnsi="宋体" w:cs="宋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8"/>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92"/>
      <w:jc w:val="both"/>
      <w:rPr>
        <w:rFonts w:hint="eastAsia" w:ascii="宋体" w:hAnsi="宋体" w:eastAsia="宋体" w:cs="宋体"/>
        <w:sz w:val="15"/>
        <w:szCs w:val="15"/>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eastAsia="宋体" w:cs="宋体"/>
        <w:sz w:val="15"/>
        <w:szCs w:val="15"/>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92"/>
      <w:jc w:val="both"/>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upperLetter"/>
      <w:pStyle w:val="180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24" w:default="1">
    <w:name w:val="Normal"/>
    <w:link w:val="1873"/>
    <w:uiPriority w:val="0"/>
    <w:qFormat/>
    <w:pPr>
      <w:jc w:val="both"/>
      <w:widowControl w:val="off"/>
    </w:pPr>
    <w:rPr>
      <w:rFonts w:hint="default" w:ascii="Times New Roman" w:hAnsi="Times New Roman" w:eastAsia="宋体" w:cs="Times New Roman"/>
      <w:sz w:val="21"/>
      <w:lang w:val="en-US" w:eastAsia="zh-CN" w:bidi="ar-SA"/>
    </w:rPr>
  </w:style>
  <w:style w:type="paragraph" w:styleId="1625">
    <w:name w:val="Heading 1"/>
    <w:basedOn w:val="1624"/>
    <w:next w:val="1624"/>
    <w:link w:val="1658"/>
    <w:uiPriority w:val="9"/>
    <w:qFormat/>
    <w:pPr>
      <w:keepLines/>
      <w:keepNext/>
      <w:spacing w:before="480" w:after="200"/>
      <w:outlineLvl w:val="0"/>
    </w:pPr>
    <w:rPr>
      <w:rFonts w:ascii="Arial" w:hAnsi="Arial" w:eastAsia="Arial" w:cs="Arial"/>
      <w:sz w:val="40"/>
      <w:szCs w:val="40"/>
    </w:rPr>
  </w:style>
  <w:style w:type="paragraph" w:styleId="1626">
    <w:name w:val="Heading 2"/>
    <w:basedOn w:val="1624"/>
    <w:next w:val="1624"/>
    <w:link w:val="1659"/>
    <w:uiPriority w:val="9"/>
    <w:unhideWhenUsed/>
    <w:qFormat/>
    <w:pPr>
      <w:keepLines/>
      <w:keepNext/>
      <w:spacing w:before="360" w:after="200"/>
      <w:outlineLvl w:val="1"/>
    </w:pPr>
    <w:rPr>
      <w:rFonts w:ascii="Arial" w:hAnsi="Arial" w:eastAsia="Arial" w:cs="Arial"/>
      <w:sz w:val="34"/>
    </w:rPr>
  </w:style>
  <w:style w:type="paragraph" w:styleId="1627">
    <w:name w:val="Heading 3"/>
    <w:basedOn w:val="1624"/>
    <w:next w:val="1624"/>
    <w:link w:val="1660"/>
    <w:uiPriority w:val="9"/>
    <w:unhideWhenUsed/>
    <w:qFormat/>
    <w:pPr>
      <w:keepLines/>
      <w:keepNext/>
      <w:spacing w:before="320" w:after="200"/>
      <w:outlineLvl w:val="2"/>
    </w:pPr>
    <w:rPr>
      <w:rFonts w:ascii="Arial" w:hAnsi="Arial" w:eastAsia="Arial" w:cs="Arial"/>
      <w:sz w:val="30"/>
      <w:szCs w:val="30"/>
    </w:rPr>
  </w:style>
  <w:style w:type="paragraph" w:styleId="1628">
    <w:name w:val="Heading 4"/>
    <w:basedOn w:val="1624"/>
    <w:next w:val="1624"/>
    <w:link w:val="1661"/>
    <w:uiPriority w:val="9"/>
    <w:unhideWhenUsed/>
    <w:qFormat/>
    <w:pPr>
      <w:keepLines/>
      <w:keepNext/>
      <w:spacing w:before="320" w:after="200"/>
      <w:outlineLvl w:val="3"/>
    </w:pPr>
    <w:rPr>
      <w:rFonts w:ascii="Arial" w:hAnsi="Arial" w:eastAsia="Arial" w:cs="Arial"/>
      <w:b/>
      <w:bCs/>
      <w:sz w:val="26"/>
      <w:szCs w:val="26"/>
    </w:rPr>
  </w:style>
  <w:style w:type="paragraph" w:styleId="1629">
    <w:name w:val="Heading 5"/>
    <w:basedOn w:val="1624"/>
    <w:next w:val="1624"/>
    <w:link w:val="1662"/>
    <w:uiPriority w:val="9"/>
    <w:unhideWhenUsed/>
    <w:qFormat/>
    <w:pPr>
      <w:keepLines/>
      <w:keepNext/>
      <w:spacing w:before="320" w:after="200"/>
      <w:outlineLvl w:val="4"/>
    </w:pPr>
    <w:rPr>
      <w:rFonts w:ascii="Arial" w:hAnsi="Arial" w:eastAsia="Arial" w:cs="Arial"/>
      <w:b/>
      <w:bCs/>
      <w:sz w:val="24"/>
      <w:szCs w:val="24"/>
    </w:rPr>
  </w:style>
  <w:style w:type="paragraph" w:styleId="1630">
    <w:name w:val="Heading 6"/>
    <w:basedOn w:val="1624"/>
    <w:next w:val="1624"/>
    <w:link w:val="1663"/>
    <w:uiPriority w:val="9"/>
    <w:unhideWhenUsed/>
    <w:qFormat/>
    <w:pPr>
      <w:keepLines/>
      <w:keepNext/>
      <w:spacing w:before="320" w:after="200"/>
      <w:outlineLvl w:val="5"/>
    </w:pPr>
    <w:rPr>
      <w:rFonts w:ascii="Arial" w:hAnsi="Arial" w:eastAsia="Arial" w:cs="Arial"/>
      <w:b/>
      <w:bCs/>
      <w:sz w:val="22"/>
      <w:szCs w:val="22"/>
    </w:rPr>
  </w:style>
  <w:style w:type="paragraph" w:styleId="1631">
    <w:name w:val="Heading 7"/>
    <w:basedOn w:val="1624"/>
    <w:next w:val="1624"/>
    <w:link w:val="1664"/>
    <w:uiPriority w:val="9"/>
    <w:unhideWhenUsed/>
    <w:qFormat/>
    <w:pPr>
      <w:keepLines/>
      <w:keepNext/>
      <w:spacing w:before="320" w:after="200"/>
      <w:outlineLvl w:val="6"/>
    </w:pPr>
    <w:rPr>
      <w:rFonts w:ascii="Arial" w:hAnsi="Arial" w:eastAsia="Arial" w:cs="Arial"/>
      <w:b/>
      <w:bCs/>
      <w:i/>
      <w:iCs/>
      <w:sz w:val="22"/>
      <w:szCs w:val="22"/>
    </w:rPr>
  </w:style>
  <w:style w:type="paragraph" w:styleId="1632">
    <w:name w:val="Heading 8"/>
    <w:basedOn w:val="1624"/>
    <w:next w:val="1624"/>
    <w:link w:val="1665"/>
    <w:uiPriority w:val="9"/>
    <w:unhideWhenUsed/>
    <w:qFormat/>
    <w:pPr>
      <w:keepLines/>
      <w:keepNext/>
      <w:spacing w:before="320" w:after="200"/>
      <w:outlineLvl w:val="7"/>
    </w:pPr>
    <w:rPr>
      <w:rFonts w:ascii="Arial" w:hAnsi="Arial" w:eastAsia="Arial" w:cs="Arial"/>
      <w:i/>
      <w:iCs/>
      <w:sz w:val="22"/>
      <w:szCs w:val="22"/>
    </w:rPr>
  </w:style>
  <w:style w:type="paragraph" w:styleId="1633">
    <w:name w:val="Heading 9"/>
    <w:basedOn w:val="1624"/>
    <w:next w:val="1624"/>
    <w:link w:val="1666"/>
    <w:uiPriority w:val="9"/>
    <w:unhideWhenUsed/>
    <w:qFormat/>
    <w:pPr>
      <w:keepLines/>
      <w:keepNext/>
      <w:spacing w:before="320" w:after="200"/>
      <w:outlineLvl w:val="8"/>
    </w:pPr>
    <w:rPr>
      <w:rFonts w:ascii="Arial" w:hAnsi="Arial" w:eastAsia="Arial" w:cs="Arial"/>
      <w:i/>
      <w:iCs/>
      <w:sz w:val="21"/>
      <w:szCs w:val="21"/>
    </w:rPr>
  </w:style>
  <w:style w:type="character" w:styleId="1634" w:default="1">
    <w:name w:val="Default Paragraph Font"/>
    <w:uiPriority w:val="1"/>
    <w:semiHidden/>
    <w:unhideWhenUsed/>
    <w:qFormat/>
  </w:style>
  <w:style w:type="table" w:styleId="1635" w:default="1">
    <w:name w:val="Normal Table"/>
    <w:uiPriority w:val="99"/>
    <w:semiHidden/>
    <w:unhideWhenUsed/>
    <w:qFormat/>
    <w:tblPr>
      <w:tblCellMar>
        <w:left w:w="108" w:type="dxa"/>
        <w:top w:w="0" w:type="dxa"/>
        <w:right w:w="108" w:type="dxa"/>
        <w:bottom w:w="0" w:type="dxa"/>
      </w:tblCellMar>
    </w:tblPr>
  </w:style>
  <w:style w:type="paragraph" w:styleId="1636">
    <w:name w:val="toc 7"/>
    <w:basedOn w:val="1624"/>
    <w:next w:val="1624"/>
    <w:uiPriority w:val="39"/>
    <w:unhideWhenUsed/>
    <w:qFormat/>
    <w:pPr>
      <w:ind w:left="1701" w:right="0" w:firstLine="0"/>
      <w:spacing w:after="57"/>
    </w:pPr>
  </w:style>
  <w:style w:type="paragraph" w:styleId="1637">
    <w:name w:val="Caption"/>
    <w:basedOn w:val="1624"/>
    <w:next w:val="1624"/>
    <w:uiPriority w:val="35"/>
    <w:semiHidden/>
    <w:unhideWhenUsed/>
    <w:qFormat/>
    <w:pPr>
      <w:spacing w:line="276" w:lineRule="auto"/>
    </w:pPr>
    <w:rPr>
      <w:b/>
      <w:bCs/>
      <w:color w:val="4f81bd" w:themeColor="accent1"/>
      <w:sz w:val="18"/>
      <w:szCs w:val="18"/>
    </w:rPr>
  </w:style>
  <w:style w:type="paragraph" w:styleId="1638">
    <w:name w:val="toc 5"/>
    <w:basedOn w:val="1624"/>
    <w:next w:val="1624"/>
    <w:uiPriority w:val="39"/>
    <w:unhideWhenUsed/>
    <w:qFormat/>
    <w:pPr>
      <w:ind w:left="1134" w:right="0" w:firstLine="0"/>
      <w:spacing w:after="57"/>
    </w:pPr>
  </w:style>
  <w:style w:type="paragraph" w:styleId="1639">
    <w:name w:val="toc 3"/>
    <w:basedOn w:val="1624"/>
    <w:next w:val="1624"/>
    <w:uiPriority w:val="39"/>
    <w:unhideWhenUsed/>
    <w:qFormat/>
    <w:pPr>
      <w:ind w:left="567" w:right="0" w:firstLine="0"/>
      <w:spacing w:after="57"/>
    </w:pPr>
  </w:style>
  <w:style w:type="paragraph" w:styleId="1640">
    <w:name w:val="toc 8"/>
    <w:basedOn w:val="1624"/>
    <w:next w:val="1624"/>
    <w:uiPriority w:val="39"/>
    <w:unhideWhenUsed/>
    <w:qFormat/>
    <w:pPr>
      <w:ind w:left="1984" w:right="0" w:firstLine="0"/>
      <w:spacing w:after="57"/>
    </w:pPr>
  </w:style>
  <w:style w:type="paragraph" w:styleId="1641">
    <w:name w:val="endnote text"/>
    <w:basedOn w:val="1624"/>
    <w:link w:val="1803"/>
    <w:uiPriority w:val="99"/>
    <w:semiHidden/>
    <w:unhideWhenUsed/>
    <w:qFormat/>
    <w:pPr>
      <w:spacing w:after="0" w:line="240" w:lineRule="auto"/>
    </w:pPr>
    <w:rPr>
      <w:sz w:val="20"/>
    </w:rPr>
  </w:style>
  <w:style w:type="paragraph" w:styleId="1642">
    <w:name w:val="Footer"/>
    <w:basedOn w:val="1624"/>
    <w:link w:val="1676"/>
    <w:uiPriority w:val="99"/>
    <w:unhideWhenUsed/>
    <w:qFormat/>
    <w:pPr>
      <w:spacing w:after="0" w:line="240" w:lineRule="auto"/>
      <w:tabs>
        <w:tab w:val="center" w:pos="7143" w:leader="none"/>
        <w:tab w:val="right" w:pos="14287" w:leader="none"/>
      </w:tabs>
    </w:pPr>
  </w:style>
  <w:style w:type="paragraph" w:styleId="1643">
    <w:name w:val="Header"/>
    <w:basedOn w:val="1624"/>
    <w:link w:val="1674"/>
    <w:uiPriority w:val="99"/>
    <w:unhideWhenUsed/>
    <w:qFormat/>
    <w:pPr>
      <w:spacing w:after="0" w:line="240" w:lineRule="auto"/>
      <w:tabs>
        <w:tab w:val="center" w:pos="7143" w:leader="none"/>
        <w:tab w:val="right" w:pos="14287" w:leader="none"/>
      </w:tabs>
    </w:pPr>
  </w:style>
  <w:style w:type="paragraph" w:styleId="1644">
    <w:name w:val="toc 1"/>
    <w:basedOn w:val="1624"/>
    <w:next w:val="1624"/>
    <w:uiPriority w:val="39"/>
    <w:unhideWhenUsed/>
    <w:qFormat/>
    <w:pPr>
      <w:ind w:left="0" w:right="0" w:firstLine="0"/>
      <w:spacing w:after="57"/>
    </w:pPr>
  </w:style>
  <w:style w:type="paragraph" w:styleId="1645">
    <w:name w:val="toc 4"/>
    <w:basedOn w:val="1624"/>
    <w:next w:val="1624"/>
    <w:uiPriority w:val="39"/>
    <w:unhideWhenUsed/>
    <w:qFormat/>
    <w:pPr>
      <w:ind w:left="850" w:right="0" w:firstLine="0"/>
      <w:spacing w:after="57"/>
    </w:pPr>
  </w:style>
  <w:style w:type="paragraph" w:styleId="1646">
    <w:name w:val="Subtitle"/>
    <w:basedOn w:val="1624"/>
    <w:next w:val="1624"/>
    <w:link w:val="1669"/>
    <w:uiPriority w:val="11"/>
    <w:qFormat/>
    <w:pPr>
      <w:spacing w:before="200" w:after="200"/>
    </w:pPr>
    <w:rPr>
      <w:sz w:val="24"/>
      <w:szCs w:val="24"/>
    </w:rPr>
  </w:style>
  <w:style w:type="paragraph" w:styleId="1647">
    <w:name w:val="footnote text"/>
    <w:basedOn w:val="1624"/>
    <w:link w:val="1802"/>
    <w:uiPriority w:val="99"/>
    <w:semiHidden/>
    <w:unhideWhenUsed/>
    <w:qFormat/>
    <w:pPr>
      <w:spacing w:after="40" w:line="240" w:lineRule="auto"/>
    </w:pPr>
    <w:rPr>
      <w:sz w:val="18"/>
    </w:rPr>
  </w:style>
  <w:style w:type="paragraph" w:styleId="1648">
    <w:name w:val="toc 6"/>
    <w:basedOn w:val="1624"/>
    <w:next w:val="1624"/>
    <w:uiPriority w:val="39"/>
    <w:unhideWhenUsed/>
    <w:qFormat/>
    <w:pPr>
      <w:ind w:left="1417" w:right="0" w:firstLine="0"/>
      <w:spacing w:after="57"/>
    </w:pPr>
  </w:style>
  <w:style w:type="paragraph" w:styleId="1649">
    <w:name w:val="table of figures"/>
    <w:basedOn w:val="1624"/>
    <w:next w:val="1624"/>
    <w:uiPriority w:val="99"/>
    <w:unhideWhenUsed/>
    <w:qFormat/>
    <w:pPr>
      <w:spacing w:after="0" w:afterAutospacing="0"/>
    </w:pPr>
  </w:style>
  <w:style w:type="paragraph" w:styleId="1650">
    <w:name w:val="toc 2"/>
    <w:basedOn w:val="1624"/>
    <w:next w:val="1624"/>
    <w:uiPriority w:val="39"/>
    <w:unhideWhenUsed/>
    <w:qFormat/>
    <w:pPr>
      <w:ind w:left="283" w:right="0" w:firstLine="0"/>
      <w:spacing w:after="57"/>
    </w:pPr>
  </w:style>
  <w:style w:type="paragraph" w:styleId="1651">
    <w:name w:val="toc 9"/>
    <w:basedOn w:val="1624"/>
    <w:next w:val="1624"/>
    <w:uiPriority w:val="39"/>
    <w:unhideWhenUsed/>
    <w:qFormat/>
    <w:pPr>
      <w:ind w:left="2268" w:right="0" w:firstLine="0"/>
      <w:spacing w:after="57"/>
    </w:pPr>
  </w:style>
  <w:style w:type="paragraph" w:styleId="1652">
    <w:name w:val="Title"/>
    <w:basedOn w:val="1624"/>
    <w:next w:val="1624"/>
    <w:link w:val="1668"/>
    <w:uiPriority w:val="10"/>
    <w:qFormat/>
    <w:pPr>
      <w:contextualSpacing/>
      <w:spacing w:before="300" w:after="200"/>
    </w:pPr>
    <w:rPr>
      <w:sz w:val="48"/>
      <w:szCs w:val="48"/>
    </w:rPr>
  </w:style>
  <w:style w:type="table" w:styleId="16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54">
    <w:name w:val="endnote reference"/>
    <w:uiPriority w:val="99"/>
    <w:semiHidden/>
    <w:unhideWhenUsed/>
    <w:qFormat/>
    <w:rPr>
      <w:vertAlign w:val="superscript"/>
    </w:rPr>
  </w:style>
  <w:style w:type="character" w:styleId="1655">
    <w:name w:val="Hyperlink"/>
    <w:uiPriority w:val="99"/>
    <w:unhideWhenUsed/>
    <w:qFormat/>
    <w:rPr>
      <w:color w:val="0000ff" w:themeColor="hyperlink"/>
      <w:u w:val="single"/>
    </w:rPr>
  </w:style>
  <w:style w:type="character" w:styleId="1656">
    <w:name w:val="footnote reference"/>
    <w:uiPriority w:val="99"/>
    <w:unhideWhenUsed/>
    <w:qFormat/>
    <w:rPr>
      <w:vertAlign w:val="superscript"/>
    </w:rPr>
  </w:style>
  <w:style w:type="paragraph" w:styleId="1657" w:customStyle="1">
    <w:name w:val="标题 411"/>
    <w:basedOn w:val="1624"/>
    <w:next w:val="1624"/>
    <w:link w:val="1811"/>
    <w:uiPriority w:val="0"/>
    <w:qFormat/>
    <w:pPr>
      <w:jc w:val="center"/>
      <w:keepNext/>
      <w:outlineLvl w:val="3"/>
    </w:pPr>
    <w:rPr>
      <w:rFonts w:eastAsia="楷体_GB2312"/>
      <w:b/>
      <w:bCs/>
      <w:sz w:val="13"/>
    </w:rPr>
  </w:style>
  <w:style w:type="character" w:styleId="1658" w:customStyle="1">
    <w:name w:val="Heading 1 Char"/>
    <w:link w:val="1625"/>
    <w:uiPriority w:val="9"/>
    <w:qFormat/>
    <w:rPr>
      <w:rFonts w:ascii="Arial" w:hAnsi="Arial" w:eastAsia="Arial" w:cs="Arial"/>
      <w:sz w:val="40"/>
      <w:szCs w:val="40"/>
    </w:rPr>
  </w:style>
  <w:style w:type="character" w:styleId="1659" w:customStyle="1">
    <w:name w:val="Heading 2 Char"/>
    <w:link w:val="1626"/>
    <w:uiPriority w:val="9"/>
    <w:qFormat/>
    <w:rPr>
      <w:rFonts w:ascii="Arial" w:hAnsi="Arial" w:eastAsia="Arial" w:cs="Arial"/>
      <w:sz w:val="34"/>
    </w:rPr>
  </w:style>
  <w:style w:type="character" w:styleId="1660" w:customStyle="1">
    <w:name w:val="Heading 3 Char"/>
    <w:link w:val="1627"/>
    <w:uiPriority w:val="9"/>
    <w:qFormat/>
    <w:rPr>
      <w:rFonts w:ascii="Arial" w:hAnsi="Arial" w:eastAsia="Arial" w:cs="Arial"/>
      <w:sz w:val="30"/>
      <w:szCs w:val="30"/>
    </w:rPr>
  </w:style>
  <w:style w:type="character" w:styleId="1661" w:customStyle="1">
    <w:name w:val="Heading 4 Char"/>
    <w:link w:val="1628"/>
    <w:uiPriority w:val="9"/>
    <w:qFormat/>
    <w:rPr>
      <w:rFonts w:ascii="Arial" w:hAnsi="Arial" w:eastAsia="Arial" w:cs="Arial"/>
      <w:b/>
      <w:bCs/>
      <w:sz w:val="26"/>
      <w:szCs w:val="26"/>
    </w:rPr>
  </w:style>
  <w:style w:type="character" w:styleId="1662" w:customStyle="1">
    <w:name w:val="Heading 5 Char"/>
    <w:link w:val="1629"/>
    <w:uiPriority w:val="9"/>
    <w:qFormat/>
    <w:rPr>
      <w:rFonts w:ascii="Arial" w:hAnsi="Arial" w:eastAsia="Arial" w:cs="Arial"/>
      <w:b/>
      <w:bCs/>
      <w:sz w:val="24"/>
      <w:szCs w:val="24"/>
    </w:rPr>
  </w:style>
  <w:style w:type="character" w:styleId="1663" w:customStyle="1">
    <w:name w:val="Heading 6 Char"/>
    <w:link w:val="1630"/>
    <w:uiPriority w:val="9"/>
    <w:qFormat/>
    <w:rPr>
      <w:rFonts w:ascii="Arial" w:hAnsi="Arial" w:eastAsia="Arial" w:cs="Arial"/>
      <w:b/>
      <w:bCs/>
      <w:sz w:val="22"/>
      <w:szCs w:val="22"/>
    </w:rPr>
  </w:style>
  <w:style w:type="character" w:styleId="1664" w:customStyle="1">
    <w:name w:val="Heading 7 Char"/>
    <w:link w:val="1631"/>
    <w:uiPriority w:val="9"/>
    <w:qFormat/>
    <w:rPr>
      <w:rFonts w:ascii="Arial" w:hAnsi="Arial" w:eastAsia="Arial" w:cs="Arial"/>
      <w:b/>
      <w:bCs/>
      <w:i/>
      <w:iCs/>
      <w:sz w:val="22"/>
      <w:szCs w:val="22"/>
    </w:rPr>
  </w:style>
  <w:style w:type="character" w:styleId="1665" w:customStyle="1">
    <w:name w:val="Heading 8 Char"/>
    <w:link w:val="1632"/>
    <w:uiPriority w:val="9"/>
    <w:qFormat/>
    <w:rPr>
      <w:rFonts w:ascii="Arial" w:hAnsi="Arial" w:eastAsia="Arial" w:cs="Arial"/>
      <w:i/>
      <w:iCs/>
      <w:sz w:val="22"/>
      <w:szCs w:val="22"/>
    </w:rPr>
  </w:style>
  <w:style w:type="character" w:styleId="1666" w:customStyle="1">
    <w:name w:val="Heading 9 Char"/>
    <w:link w:val="1633"/>
    <w:uiPriority w:val="9"/>
    <w:qFormat/>
    <w:rPr>
      <w:rFonts w:ascii="Arial" w:hAnsi="Arial" w:eastAsia="Arial" w:cs="Arial"/>
      <w:i/>
      <w:iCs/>
      <w:sz w:val="21"/>
      <w:szCs w:val="21"/>
    </w:rPr>
  </w:style>
  <w:style w:type="paragraph" w:styleId="1667">
    <w:name w:val="No Spacing"/>
    <w:uiPriority w:val="1"/>
    <w:qFormat/>
    <w:pPr>
      <w:spacing w:before="0" w:after="0" w:line="240" w:lineRule="auto"/>
    </w:pPr>
    <w:rPr>
      <w:rFonts w:hint="default" w:ascii="Times New Roman" w:hAnsi="Times New Roman" w:eastAsia="宋体" w:cs="Times New Roman"/>
    </w:rPr>
  </w:style>
  <w:style w:type="character" w:styleId="1668" w:customStyle="1">
    <w:name w:val="Title Char"/>
    <w:link w:val="1652"/>
    <w:uiPriority w:val="10"/>
    <w:qFormat/>
    <w:rPr>
      <w:sz w:val="48"/>
      <w:szCs w:val="48"/>
    </w:rPr>
  </w:style>
  <w:style w:type="character" w:styleId="1669" w:customStyle="1">
    <w:name w:val="Subtitle Char"/>
    <w:link w:val="1646"/>
    <w:uiPriority w:val="11"/>
    <w:qFormat/>
    <w:rPr>
      <w:sz w:val="24"/>
      <w:szCs w:val="24"/>
    </w:rPr>
  </w:style>
  <w:style w:type="paragraph" w:styleId="1670">
    <w:name w:val="Quote"/>
    <w:basedOn w:val="1624"/>
    <w:next w:val="1624"/>
    <w:link w:val="1671"/>
    <w:uiPriority w:val="29"/>
    <w:qFormat/>
    <w:pPr>
      <w:ind w:left="720" w:right="720"/>
    </w:pPr>
    <w:rPr>
      <w:i/>
    </w:rPr>
  </w:style>
  <w:style w:type="character" w:styleId="1671" w:customStyle="1">
    <w:name w:val="Quote Char"/>
    <w:link w:val="1670"/>
    <w:uiPriority w:val="29"/>
    <w:qFormat/>
    <w:rPr>
      <w:i/>
    </w:rPr>
  </w:style>
  <w:style w:type="paragraph" w:styleId="1672">
    <w:name w:val="Intense Quote"/>
    <w:basedOn w:val="1624"/>
    <w:next w:val="1624"/>
    <w:link w:val="1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73" w:customStyle="1">
    <w:name w:val="Intense Quote Char"/>
    <w:link w:val="1672"/>
    <w:uiPriority w:val="30"/>
    <w:qFormat/>
    <w:rPr>
      <w:i/>
    </w:rPr>
  </w:style>
  <w:style w:type="character" w:styleId="1674" w:customStyle="1">
    <w:name w:val="Header Char"/>
    <w:link w:val="1643"/>
    <w:uiPriority w:val="99"/>
    <w:qFormat/>
  </w:style>
  <w:style w:type="character" w:styleId="1675" w:customStyle="1">
    <w:name w:val="Footer Char"/>
    <w:link w:val="1642"/>
    <w:uiPriority w:val="99"/>
    <w:qFormat/>
  </w:style>
  <w:style w:type="character" w:styleId="1676" w:customStyle="1">
    <w:name w:val="Caption Char"/>
    <w:link w:val="1642"/>
    <w:uiPriority w:val="99"/>
    <w:qFormat/>
  </w:style>
  <w:style w:type="table" w:styleId="16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7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7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7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7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7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7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7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7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7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7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7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7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7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7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7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7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7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7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7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7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7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02" w:customStyle="1">
    <w:name w:val="Footnote Text Char"/>
    <w:link w:val="1647"/>
    <w:uiPriority w:val="99"/>
    <w:qFormat/>
    <w:rPr>
      <w:sz w:val="18"/>
    </w:rPr>
  </w:style>
  <w:style w:type="character" w:styleId="1803" w:customStyle="1">
    <w:name w:val="Endnote Text Char"/>
    <w:link w:val="1641"/>
    <w:uiPriority w:val="99"/>
    <w:qFormat/>
    <w:rPr>
      <w:sz w:val="20"/>
    </w:rPr>
  </w:style>
  <w:style w:type="paragraph" w:styleId="1804" w:customStyle="1">
    <w:name w:val="TOC Heading"/>
    <w:uiPriority w:val="39"/>
    <w:unhideWhenUsed/>
    <w:qFormat/>
    <w:rPr>
      <w:rFonts w:hint="default" w:ascii="Times New Roman" w:hAnsi="Times New Roman" w:eastAsia="宋体" w:cs="Times New Roman"/>
    </w:rPr>
  </w:style>
  <w:style w:type="paragraph" w:styleId="1805" w:customStyle="1">
    <w:name w:val="标题 11"/>
    <w:basedOn w:val="1624"/>
    <w:next w:val="1624"/>
    <w:link w:val="1812"/>
    <w:uiPriority w:val="0"/>
    <w:qFormat/>
    <w:pPr>
      <w:jc w:val="center"/>
      <w:keepNext/>
      <w:outlineLvl w:val="0"/>
    </w:pPr>
    <w:rPr>
      <w:rFonts w:ascii="楷体_GB2312" w:hAnsi="楷体_GB2312" w:eastAsia="宋体"/>
      <w:b/>
      <w:sz w:val="28"/>
      <w:szCs w:val="32"/>
    </w:rPr>
  </w:style>
  <w:style w:type="paragraph" w:styleId="1806" w:customStyle="1">
    <w:name w:val="标题 21"/>
    <w:basedOn w:val="1624"/>
    <w:next w:val="1624"/>
    <w:link w:val="1813"/>
    <w:uiPriority w:val="0"/>
    <w:qFormat/>
    <w:pPr>
      <w:jc w:val="center"/>
      <w:keepNext/>
      <w:outlineLvl w:val="1"/>
    </w:pPr>
    <w:rPr>
      <w:rFonts w:ascii="楷体_GB2312" w:eastAsia="楷体_GB2312"/>
      <w:b/>
      <w:bCs/>
      <w:sz w:val="18"/>
    </w:rPr>
  </w:style>
  <w:style w:type="paragraph" w:styleId="1807" w:customStyle="1">
    <w:name w:val="标题 31"/>
    <w:basedOn w:val="1624"/>
    <w:next w:val="1624"/>
    <w:link w:val="1814"/>
    <w:uiPriority w:val="0"/>
    <w:qFormat/>
    <w:pPr>
      <w:jc w:val="center"/>
      <w:keepNext/>
      <w:outlineLvl w:val="2"/>
    </w:pPr>
    <w:rPr>
      <w:rFonts w:eastAsia="楷体_GB2312"/>
      <w:b/>
      <w:bCs/>
      <w:sz w:val="15"/>
    </w:rPr>
  </w:style>
  <w:style w:type="paragraph" w:styleId="1808" w:customStyle="1">
    <w:name w:val="标题 51"/>
    <w:basedOn w:val="1624"/>
    <w:next w:val="1624"/>
    <w:link w:val="1815"/>
    <w:uiPriority w:val="0"/>
    <w:qFormat/>
    <w:pPr>
      <w:numPr>
        <w:ilvl w:val="0"/>
        <w:numId w:val="1"/>
      </w:numPr>
      <w:keepNext/>
      <w:outlineLvl w:val="4"/>
    </w:pPr>
    <w:rPr>
      <w:rFonts w:ascii="楷体_GB2312" w:eastAsia="楷体_GB2312"/>
      <w:bCs/>
      <w:sz w:val="28"/>
    </w:rPr>
  </w:style>
  <w:style w:type="character" w:styleId="1809" w:customStyle="1">
    <w:name w:val="默认段落字体1"/>
    <w:link w:val="1624"/>
    <w:uiPriority w:val="1"/>
    <w:unhideWhenUsed/>
    <w:qFormat/>
  </w:style>
  <w:style w:type="table" w:styleId="1810" w:customStyle="1">
    <w:name w:val="普通表格1"/>
    <w:uiPriority w:val="99"/>
    <w:unhideWhenUsed/>
    <w:qFormat/>
    <w:tblPr/>
  </w:style>
  <w:style w:type="character" w:styleId="1811" w:customStyle="1">
    <w:name w:val="标题 4 字符"/>
    <w:link w:val="1657"/>
    <w:uiPriority w:val="0"/>
    <w:qFormat/>
    <w:rPr>
      <w:rFonts w:ascii="Times New Roman" w:hAnsi="Times New Roman" w:eastAsia="楷体_GB2312" w:cs="Times New Roman"/>
      <w:b/>
      <w:bCs/>
      <w:sz w:val="13"/>
      <w:szCs w:val="20"/>
    </w:rPr>
  </w:style>
  <w:style w:type="character" w:styleId="1812" w:customStyle="1">
    <w:name w:val="标题 1 字符"/>
    <w:link w:val="1805"/>
    <w:uiPriority w:val="0"/>
    <w:qFormat/>
    <w:rPr>
      <w:rFonts w:ascii="楷体_GB2312" w:hAnsi="楷体_GB2312" w:eastAsia="宋体" w:cs="Times New Roman"/>
      <w:b/>
      <w:sz w:val="28"/>
      <w:szCs w:val="32"/>
    </w:rPr>
  </w:style>
  <w:style w:type="character" w:styleId="1813" w:customStyle="1">
    <w:name w:val="标题 2 字符"/>
    <w:link w:val="1806"/>
    <w:uiPriority w:val="0"/>
    <w:qFormat/>
    <w:rPr>
      <w:rFonts w:ascii="楷体_GB2312" w:hAnsi="Times New Roman" w:eastAsia="楷体_GB2312" w:cs="Times New Roman"/>
      <w:b/>
      <w:bCs/>
      <w:sz w:val="18"/>
      <w:szCs w:val="20"/>
    </w:rPr>
  </w:style>
  <w:style w:type="character" w:styleId="1814" w:customStyle="1">
    <w:name w:val="标题 3 字符"/>
    <w:link w:val="1807"/>
    <w:uiPriority w:val="0"/>
    <w:qFormat/>
    <w:rPr>
      <w:rFonts w:ascii="Times New Roman" w:hAnsi="Times New Roman" w:eastAsia="楷体_GB2312" w:cs="Times New Roman"/>
      <w:b/>
      <w:bCs/>
      <w:sz w:val="15"/>
      <w:szCs w:val="20"/>
    </w:rPr>
  </w:style>
  <w:style w:type="character" w:styleId="1815" w:customStyle="1">
    <w:name w:val="标题 5 字符"/>
    <w:link w:val="1808"/>
    <w:uiPriority w:val="0"/>
    <w:qFormat/>
    <w:rPr>
      <w:rFonts w:ascii="楷体_GB2312" w:hAnsi="Times New Roman" w:eastAsia="楷体_GB2312" w:cs="Times New Roman"/>
      <w:bCs/>
      <w:sz w:val="28"/>
      <w:szCs w:val="20"/>
    </w:rPr>
  </w:style>
  <w:style w:type="paragraph" w:styleId="1816" w:customStyle="1">
    <w:name w:val="正文缩进11"/>
    <w:basedOn w:val="1624"/>
    <w:link w:val="1817"/>
    <w:uiPriority w:val="0"/>
    <w:unhideWhenUsed/>
    <w:qFormat/>
    <w:pPr>
      <w:ind w:firstLine="420"/>
    </w:pPr>
  </w:style>
  <w:style w:type="character" w:styleId="1817" w:customStyle="1">
    <w:name w:val="正文缩进 字符"/>
    <w:link w:val="1816"/>
    <w:uiPriority w:val="0"/>
    <w:semiHidden/>
    <w:qFormat/>
    <w:rPr>
      <w:rFonts w:ascii="Times New Roman" w:hAnsi="Times New Roman"/>
      <w:sz w:val="21"/>
    </w:rPr>
  </w:style>
  <w:style w:type="paragraph" w:styleId="1818" w:customStyle="1">
    <w:name w:val="文档结构图1"/>
    <w:basedOn w:val="1624"/>
    <w:link w:val="1819"/>
    <w:uiPriority w:val="0"/>
    <w:semiHidden/>
    <w:qFormat/>
    <w:pPr>
      <w:shd w:val="clear" w:color="auto" w:fill="000080"/>
    </w:pPr>
    <w:rPr>
      <w:sz w:val="20"/>
    </w:rPr>
  </w:style>
  <w:style w:type="character" w:styleId="1819" w:customStyle="1">
    <w:name w:val="文档结构图 字符"/>
    <w:link w:val="1818"/>
    <w:uiPriority w:val="0"/>
    <w:semiHidden/>
    <w:qFormat/>
    <w:rPr>
      <w:rFonts w:ascii="Times New Roman" w:hAnsi="Times New Roman" w:eastAsia="宋体" w:cs="Times New Roman"/>
      <w:szCs w:val="20"/>
      <w:shd w:val="clear" w:color="auto" w:fill="000080"/>
    </w:rPr>
  </w:style>
  <w:style w:type="paragraph" w:styleId="1820" w:customStyle="1">
    <w:name w:val="批注文字1"/>
    <w:basedOn w:val="1624"/>
    <w:link w:val="1821"/>
    <w:uiPriority w:val="99"/>
    <w:semiHidden/>
    <w:qFormat/>
    <w:pPr>
      <w:jc w:val="left"/>
    </w:pPr>
    <w:rPr>
      <w:sz w:val="20"/>
      <w:szCs w:val="24"/>
    </w:rPr>
  </w:style>
  <w:style w:type="character" w:styleId="1821" w:customStyle="1">
    <w:name w:val="批注文字 字符"/>
    <w:link w:val="1820"/>
    <w:uiPriority w:val="99"/>
    <w:semiHidden/>
    <w:qFormat/>
    <w:rPr>
      <w:rFonts w:ascii="Times New Roman" w:hAnsi="Times New Roman" w:eastAsia="宋体" w:cs="Times New Roman"/>
      <w:szCs w:val="24"/>
    </w:rPr>
  </w:style>
  <w:style w:type="paragraph" w:styleId="1822" w:customStyle="1">
    <w:name w:val="正文文本11"/>
    <w:basedOn w:val="1624"/>
    <w:link w:val="1823"/>
    <w:uiPriority w:val="99"/>
    <w:qFormat/>
    <w:rPr>
      <w:rFonts w:ascii="华文中宋" w:eastAsia="华文中宋"/>
      <w:bCs/>
      <w:sz w:val="28"/>
    </w:rPr>
  </w:style>
  <w:style w:type="character" w:styleId="1823" w:customStyle="1">
    <w:name w:val="正文文本 字符"/>
    <w:link w:val="1822"/>
    <w:uiPriority w:val="99"/>
    <w:qFormat/>
    <w:rPr>
      <w:rFonts w:ascii="华文中宋" w:hAnsi="Times New Roman" w:eastAsia="华文中宋" w:cs="Times New Roman"/>
      <w:bCs/>
      <w:sz w:val="28"/>
      <w:szCs w:val="20"/>
    </w:rPr>
  </w:style>
  <w:style w:type="paragraph" w:styleId="1824" w:customStyle="1">
    <w:name w:val="正文文本缩进1"/>
    <w:basedOn w:val="1624"/>
    <w:next w:val="1624"/>
    <w:link w:val="1825"/>
    <w:uiPriority w:val="0"/>
    <w:qFormat/>
    <w:pPr>
      <w:ind w:firstLine="576"/>
    </w:pPr>
    <w:rPr>
      <w:b/>
      <w:sz w:val="30"/>
    </w:rPr>
  </w:style>
  <w:style w:type="character" w:styleId="1825" w:customStyle="1">
    <w:name w:val="正文文本缩进 字符"/>
    <w:link w:val="1824"/>
    <w:uiPriority w:val="0"/>
    <w:qFormat/>
    <w:rPr>
      <w:rFonts w:ascii="Times New Roman" w:hAnsi="Times New Roman" w:eastAsia="宋体" w:cs="Times New Roman"/>
      <w:b/>
      <w:sz w:val="30"/>
      <w:szCs w:val="20"/>
    </w:rPr>
  </w:style>
  <w:style w:type="paragraph" w:styleId="1826" w:customStyle="1">
    <w:name w:val="索引 41"/>
    <w:basedOn w:val="1624"/>
    <w:next w:val="1624"/>
    <w:uiPriority w:val="99"/>
    <w:qFormat/>
    <w:pPr>
      <w:ind w:left="600"/>
    </w:pPr>
    <w:rPr>
      <w:szCs w:val="24"/>
    </w:rPr>
  </w:style>
  <w:style w:type="paragraph" w:styleId="1827" w:customStyle="1">
    <w:name w:val="纯文本1"/>
    <w:basedOn w:val="1624"/>
    <w:link w:val="1828"/>
    <w:uiPriority w:val="0"/>
    <w:qFormat/>
    <w:rPr>
      <w:rFonts w:ascii="宋体" w:hAnsi="Courier New"/>
    </w:rPr>
  </w:style>
  <w:style w:type="character" w:styleId="1828" w:customStyle="1">
    <w:name w:val="纯文本 字符"/>
    <w:link w:val="1827"/>
    <w:uiPriority w:val="0"/>
    <w:qFormat/>
    <w:rPr>
      <w:rFonts w:ascii="宋体" w:hAnsi="Courier New"/>
      <w:sz w:val="21"/>
    </w:rPr>
  </w:style>
  <w:style w:type="paragraph" w:styleId="1829" w:customStyle="1">
    <w:name w:val="日期1"/>
    <w:basedOn w:val="1624"/>
    <w:next w:val="1624"/>
    <w:link w:val="1830"/>
    <w:uiPriority w:val="0"/>
    <w:qFormat/>
    <w:rPr>
      <w:rFonts w:eastAsia="黑体"/>
      <w:b/>
      <w:sz w:val="36"/>
    </w:rPr>
  </w:style>
  <w:style w:type="character" w:styleId="1830" w:customStyle="1">
    <w:name w:val="日期 字符"/>
    <w:link w:val="1829"/>
    <w:uiPriority w:val="0"/>
    <w:qFormat/>
    <w:rPr>
      <w:rFonts w:ascii="Times New Roman" w:hAnsi="Times New Roman" w:eastAsia="黑体" w:cs="Times New Roman"/>
      <w:b/>
      <w:sz w:val="36"/>
      <w:szCs w:val="20"/>
    </w:rPr>
  </w:style>
  <w:style w:type="paragraph" w:styleId="1831" w:customStyle="1">
    <w:name w:val="正文文本缩进 21"/>
    <w:basedOn w:val="1624"/>
    <w:link w:val="1832"/>
    <w:uiPriority w:val="0"/>
    <w:qFormat/>
    <w:pPr>
      <w:ind w:left="900"/>
    </w:pPr>
    <w:rPr>
      <w:rFonts w:ascii="楷体_GB2312" w:eastAsia="楷体_GB2312"/>
      <w:b/>
      <w:sz w:val="28"/>
    </w:rPr>
  </w:style>
  <w:style w:type="character" w:styleId="1832" w:customStyle="1">
    <w:name w:val="正文文本缩进 2 字符"/>
    <w:link w:val="1831"/>
    <w:uiPriority w:val="0"/>
    <w:qFormat/>
    <w:rPr>
      <w:rFonts w:ascii="楷体_GB2312" w:hAnsi="Times New Roman" w:eastAsia="楷体_GB2312" w:cs="Times New Roman"/>
      <w:b/>
      <w:sz w:val="28"/>
      <w:szCs w:val="20"/>
    </w:rPr>
  </w:style>
  <w:style w:type="paragraph" w:styleId="1833" w:customStyle="1">
    <w:name w:val="批注框文本1"/>
    <w:basedOn w:val="1624"/>
    <w:link w:val="1834"/>
    <w:uiPriority w:val="99"/>
    <w:unhideWhenUsed/>
    <w:qFormat/>
    <w:rPr>
      <w:sz w:val="18"/>
      <w:szCs w:val="18"/>
    </w:rPr>
  </w:style>
  <w:style w:type="character" w:styleId="1834" w:customStyle="1">
    <w:name w:val="批注框文本 字符"/>
    <w:link w:val="1833"/>
    <w:uiPriority w:val="99"/>
    <w:semiHidden/>
    <w:qFormat/>
    <w:rPr>
      <w:rFonts w:ascii="Times New Roman" w:hAnsi="Times New Roman" w:eastAsia="宋体" w:cs="Times New Roman"/>
      <w:sz w:val="18"/>
      <w:szCs w:val="18"/>
    </w:rPr>
  </w:style>
  <w:style w:type="paragraph" w:styleId="1835" w:customStyle="1">
    <w:name w:val="页脚11"/>
    <w:basedOn w:val="1624"/>
    <w:link w:val="1836"/>
    <w:uiPriority w:val="0"/>
    <w:unhideWhenUsed/>
    <w:qFormat/>
    <w:pPr>
      <w:jc w:val="left"/>
      <w:tabs>
        <w:tab w:val="center" w:pos="4153" w:leader="none"/>
        <w:tab w:val="right" w:pos="8306" w:leader="none"/>
      </w:tabs>
    </w:pPr>
    <w:rPr>
      <w:sz w:val="18"/>
      <w:szCs w:val="18"/>
    </w:rPr>
  </w:style>
  <w:style w:type="character" w:styleId="1836" w:customStyle="1">
    <w:name w:val="页脚 字符"/>
    <w:link w:val="1835"/>
    <w:uiPriority w:val="0"/>
    <w:qFormat/>
    <w:rPr>
      <w:sz w:val="18"/>
      <w:szCs w:val="18"/>
    </w:rPr>
  </w:style>
  <w:style w:type="paragraph" w:styleId="1837" w:customStyle="1">
    <w:name w:val="寄信人地址1"/>
    <w:basedOn w:val="1624"/>
    <w:uiPriority w:val="0"/>
    <w:qFormat/>
    <w:rPr>
      <w:rFonts w:ascii="Arial" w:hAnsi="Arial"/>
    </w:rPr>
  </w:style>
  <w:style w:type="paragraph" w:styleId="1838" w:customStyle="1">
    <w:name w:val="页眉11"/>
    <w:basedOn w:val="1624"/>
    <w:link w:val="183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839" w:customStyle="1">
    <w:name w:val="页眉 字符"/>
    <w:link w:val="1838"/>
    <w:uiPriority w:val="0"/>
    <w:qFormat/>
    <w:rPr>
      <w:sz w:val="18"/>
      <w:szCs w:val="18"/>
    </w:rPr>
  </w:style>
  <w:style w:type="paragraph" w:styleId="1840" w:customStyle="1">
    <w:name w:val="目录 11"/>
    <w:basedOn w:val="1624"/>
    <w:next w:val="1624"/>
    <w:uiPriority w:val="39"/>
    <w:unhideWhenUsed/>
    <w:qFormat/>
  </w:style>
  <w:style w:type="paragraph" w:styleId="1841" w:customStyle="1">
    <w:name w:val="列表11"/>
    <w:basedOn w:val="1624"/>
    <w:uiPriority w:val="0"/>
    <w:qFormat/>
    <w:pPr>
      <w:ind w:left="420" w:hanging="420"/>
      <w:spacing w:after="20" w:line="288" w:lineRule="auto"/>
      <w:tabs>
        <w:tab w:val="left" w:pos="420" w:leader="none"/>
      </w:tabs>
    </w:pPr>
    <w:rPr>
      <w:szCs w:val="20"/>
      <w:lang w:val="en-GB"/>
    </w:rPr>
  </w:style>
  <w:style w:type="paragraph" w:styleId="1842" w:customStyle="1">
    <w:name w:val="正文文本缩进 31"/>
    <w:basedOn w:val="1624"/>
    <w:link w:val="1843"/>
    <w:uiPriority w:val="0"/>
    <w:qFormat/>
    <w:pPr>
      <w:ind w:left="359" w:firstLine="359"/>
    </w:pPr>
    <w:rPr>
      <w:sz w:val="20"/>
    </w:rPr>
  </w:style>
  <w:style w:type="character" w:styleId="1843" w:customStyle="1">
    <w:name w:val="正文文本缩进 3 字符"/>
    <w:link w:val="1842"/>
    <w:uiPriority w:val="0"/>
    <w:qFormat/>
    <w:rPr>
      <w:rFonts w:ascii="Times New Roman" w:hAnsi="Times New Roman" w:eastAsia="宋体" w:cs="Times New Roman"/>
      <w:szCs w:val="20"/>
    </w:rPr>
  </w:style>
  <w:style w:type="paragraph" w:styleId="1844" w:customStyle="1">
    <w:name w:val="目录 21"/>
    <w:basedOn w:val="1624"/>
    <w:next w:val="1624"/>
    <w:uiPriority w:val="39"/>
    <w:qFormat/>
    <w:pPr>
      <w:ind w:left="210" w:firstLine="150"/>
      <w:jc w:val="left"/>
      <w:tabs>
        <w:tab w:val="right" w:pos="9170" w:leader="dot"/>
      </w:tabs>
    </w:pPr>
    <w:rPr>
      <w:smallCaps/>
      <w:sz w:val="20"/>
    </w:rPr>
  </w:style>
  <w:style w:type="paragraph" w:styleId="1845" w:customStyle="1">
    <w:name w:val="正文文本 21"/>
    <w:basedOn w:val="1624"/>
    <w:link w:val="1846"/>
    <w:uiPriority w:val="0"/>
    <w:qFormat/>
    <w:pPr>
      <w:spacing w:after="120" w:line="480" w:lineRule="auto"/>
    </w:pPr>
    <w:rPr>
      <w:sz w:val="20"/>
    </w:rPr>
  </w:style>
  <w:style w:type="character" w:styleId="1846" w:customStyle="1">
    <w:name w:val="正文文本 2 字符"/>
    <w:link w:val="1845"/>
    <w:uiPriority w:val="0"/>
    <w:qFormat/>
    <w:rPr>
      <w:rFonts w:ascii="Times New Roman" w:hAnsi="Times New Roman" w:eastAsia="宋体" w:cs="Times New Roman"/>
      <w:szCs w:val="20"/>
    </w:rPr>
  </w:style>
  <w:style w:type="paragraph" w:styleId="1847" w:customStyle="1">
    <w:name w:val="普通(网站)1"/>
    <w:basedOn w:val="1624"/>
    <w:uiPriority w:val="99"/>
    <w:qFormat/>
    <w:pPr>
      <w:jc w:val="left"/>
      <w:spacing w:before="100" w:beforeAutospacing="1" w:after="100" w:afterAutospacing="1"/>
      <w:widowControl/>
    </w:pPr>
    <w:rPr>
      <w:rFonts w:ascii="宋体" w:hAnsi="宋体" w:cs="宋体"/>
      <w:sz w:val="24"/>
      <w:szCs w:val="24"/>
    </w:rPr>
  </w:style>
  <w:style w:type="paragraph" w:styleId="1848" w:customStyle="1">
    <w:name w:val="批注主题1"/>
    <w:basedOn w:val="1820"/>
    <w:next w:val="1820"/>
    <w:link w:val="1849"/>
    <w:uiPriority w:val="99"/>
    <w:semiHidden/>
    <w:qFormat/>
    <w:rPr>
      <w:b/>
      <w:bCs/>
    </w:rPr>
  </w:style>
  <w:style w:type="character" w:styleId="1849" w:customStyle="1">
    <w:name w:val="批注主题 字符"/>
    <w:link w:val="1848"/>
    <w:uiPriority w:val="99"/>
    <w:semiHidden/>
    <w:qFormat/>
    <w:rPr>
      <w:rFonts w:ascii="Times New Roman" w:hAnsi="Times New Roman" w:eastAsia="宋体" w:cs="Times New Roman"/>
      <w:b/>
      <w:bCs/>
      <w:szCs w:val="24"/>
    </w:rPr>
  </w:style>
  <w:style w:type="paragraph" w:styleId="1850" w:customStyle="1">
    <w:name w:val="正文首行缩进11"/>
    <w:basedOn w:val="1822"/>
    <w:link w:val="1851"/>
    <w:uiPriority w:val="0"/>
    <w:qFormat/>
    <w:pPr>
      <w:ind w:firstLine="420"/>
      <w:spacing w:after="120"/>
    </w:pPr>
    <w:rPr>
      <w:rFonts w:ascii="Times New Roman" w:eastAsia="宋体"/>
      <w:sz w:val="21"/>
      <w:szCs w:val="24"/>
    </w:rPr>
  </w:style>
  <w:style w:type="character" w:styleId="1851" w:customStyle="1">
    <w:name w:val="正文首行缩进 字符"/>
    <w:link w:val="1850"/>
    <w:uiPriority w:val="0"/>
    <w:qFormat/>
    <w:rPr>
      <w:rFonts w:ascii="Times New Roman" w:eastAsia="宋体"/>
      <w:sz w:val="21"/>
      <w:szCs w:val="24"/>
    </w:rPr>
  </w:style>
  <w:style w:type="paragraph" w:styleId="1852" w:customStyle="1">
    <w:name w:val="正文首行缩进 21"/>
    <w:basedOn w:val="1824"/>
    <w:next w:val="162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853" w:customStyle="1">
    <w:name w:val="网格型1"/>
    <w:basedOn w:val="1810"/>
    <w:uiPriority w:val="0"/>
    <w:qFormat/>
    <w:pPr>
      <w:jc w:val="both"/>
      <w:widowControl w:val="off"/>
    </w:pPr>
    <w:tblPr/>
  </w:style>
  <w:style w:type="character" w:styleId="1854" w:customStyle="1">
    <w:name w:val="要点1"/>
    <w:link w:val="1624"/>
    <w:uiPriority w:val="99"/>
    <w:qFormat/>
    <w:rPr>
      <w:rFonts w:cs="Times New Roman"/>
      <w:b/>
      <w:bCs/>
    </w:rPr>
  </w:style>
  <w:style w:type="character" w:styleId="1855" w:customStyle="1">
    <w:name w:val="页码1"/>
    <w:basedOn w:val="1809"/>
    <w:link w:val="1624"/>
    <w:uiPriority w:val="0"/>
    <w:qFormat/>
    <w:rPr>
      <w:rFonts w:cs="Times New Roman"/>
    </w:rPr>
  </w:style>
  <w:style w:type="character" w:styleId="1856" w:customStyle="1">
    <w:name w:val="已访问的超链接1"/>
    <w:link w:val="1624"/>
    <w:uiPriority w:val="99"/>
    <w:qFormat/>
    <w:rPr>
      <w:rFonts w:cs="Times New Roman"/>
      <w:color w:val="000000"/>
      <w:u w:val="none"/>
    </w:rPr>
  </w:style>
  <w:style w:type="character" w:styleId="1857" w:customStyle="1">
    <w:name w:val="HTML 打字机1"/>
    <w:link w:val="1624"/>
    <w:uiPriority w:val="99"/>
    <w:qFormat/>
    <w:rPr>
      <w:rFonts w:ascii="宋体" w:hAnsi="宋体" w:eastAsia="宋体" w:cs="宋体"/>
      <w:sz w:val="24"/>
      <w:szCs w:val="24"/>
    </w:rPr>
  </w:style>
  <w:style w:type="character" w:styleId="1858" w:customStyle="1">
    <w:name w:val="超链接1"/>
    <w:link w:val="1624"/>
    <w:uiPriority w:val="0"/>
    <w:qFormat/>
    <w:rPr>
      <w:color w:val="000000"/>
      <w:u w:val="none"/>
    </w:rPr>
  </w:style>
  <w:style w:type="character" w:styleId="1859" w:customStyle="1">
    <w:name w:val="NormalCharacter1"/>
    <w:link w:val="1860"/>
    <w:uiPriority w:val="99"/>
    <w:qFormat/>
    <w:rPr>
      <w:sz w:val="20"/>
    </w:rPr>
  </w:style>
  <w:style w:type="paragraph" w:styleId="1860" w:customStyle="1">
    <w:name w:val="UserStyle_4"/>
    <w:basedOn w:val="1624"/>
    <w:link w:val="1859"/>
    <w:uiPriority w:val="99"/>
    <w:qFormat/>
    <w:pPr>
      <w:widowControl/>
    </w:pPr>
    <w:rPr>
      <w:sz w:val="20"/>
    </w:rPr>
  </w:style>
  <w:style w:type="character" w:styleId="1861" w:customStyle="1">
    <w:name w:val="font31"/>
    <w:link w:val="1624"/>
    <w:uiPriority w:val="0"/>
    <w:qFormat/>
    <w:rPr>
      <w:rFonts w:hint="eastAsia" w:ascii="仿宋" w:hAnsi="仿宋" w:eastAsia="仿宋" w:cs="仿宋"/>
      <w:color w:val="000000"/>
      <w:sz w:val="24"/>
      <w:szCs w:val="24"/>
      <w:u w:val="none"/>
    </w:rPr>
  </w:style>
  <w:style w:type="character" w:styleId="1862" w:customStyle="1">
    <w:name w:val="正文文本缩进 Char1"/>
    <w:link w:val="1624"/>
    <w:uiPriority w:val="0"/>
    <w:semiHidden/>
    <w:qFormat/>
    <w:rPr>
      <w:rFonts w:ascii="Times New Roman" w:hAnsi="Times New Roman" w:eastAsia="宋体" w:cs="Times New Roman"/>
      <w:szCs w:val="20"/>
    </w:rPr>
  </w:style>
  <w:style w:type="character" w:styleId="1863" w:customStyle="1">
    <w:name w:val="font11"/>
    <w:link w:val="1624"/>
    <w:uiPriority w:val="0"/>
    <w:qFormat/>
    <w:rPr>
      <w:rFonts w:hint="eastAsia" w:ascii="宋体" w:hAnsi="宋体" w:eastAsia="宋体" w:cs="宋体"/>
      <w:color w:val="000000"/>
      <w:sz w:val="20"/>
      <w:szCs w:val="20"/>
      <w:u w:val="none"/>
    </w:rPr>
  </w:style>
  <w:style w:type="character" w:styleId="1864" w:customStyle="1">
    <w:name w:val="正文首行缩进两字 Char"/>
    <w:link w:val="1865"/>
    <w:uiPriority w:val="0"/>
    <w:qFormat/>
    <w:rPr>
      <w:sz w:val="24"/>
      <w:szCs w:val="24"/>
      <w:lang w:val="en-US" w:eastAsia="zh-CN" w:bidi="ar-SA"/>
    </w:rPr>
  </w:style>
  <w:style w:type="paragraph" w:styleId="1865" w:customStyle="1">
    <w:name w:val="正文首行缩进两字"/>
    <w:link w:val="1864"/>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866" w:customStyle="1">
    <w:name w:val="日期 Char1"/>
    <w:link w:val="1624"/>
    <w:uiPriority w:val="0"/>
    <w:semiHidden/>
    <w:qFormat/>
    <w:rPr>
      <w:rFonts w:ascii="Times New Roman" w:hAnsi="Times New Roman" w:eastAsia="宋体" w:cs="Times New Roman"/>
      <w:szCs w:val="20"/>
    </w:rPr>
  </w:style>
  <w:style w:type="character" w:styleId="1867" w:customStyle="1">
    <w:name w:val="正文文本 2 Char1"/>
    <w:link w:val="1624"/>
    <w:uiPriority w:val="0"/>
    <w:semiHidden/>
    <w:qFormat/>
    <w:rPr>
      <w:rFonts w:ascii="Times New Roman" w:hAnsi="Times New Roman" w:eastAsia="宋体" w:cs="Times New Roman"/>
      <w:szCs w:val="20"/>
    </w:rPr>
  </w:style>
  <w:style w:type="character" w:styleId="1868" w:customStyle="1">
    <w:name w:val="文档结构图 Char1"/>
    <w:link w:val="1624"/>
    <w:uiPriority w:val="0"/>
    <w:semiHidden/>
    <w:qFormat/>
    <w:rPr>
      <w:rFonts w:ascii="宋体" w:hAnsi="Times New Roman" w:eastAsia="宋体" w:cs="Times New Roman"/>
      <w:sz w:val="18"/>
      <w:szCs w:val="18"/>
    </w:rPr>
  </w:style>
  <w:style w:type="character" w:styleId="1869" w:customStyle="1">
    <w:name w:val="正文文本缩进 2 Char1"/>
    <w:link w:val="1624"/>
    <w:uiPriority w:val="0"/>
    <w:semiHidden/>
    <w:qFormat/>
    <w:rPr>
      <w:rFonts w:ascii="Times New Roman" w:hAnsi="Times New Roman" w:eastAsia="宋体" w:cs="Times New Roman"/>
      <w:szCs w:val="20"/>
    </w:rPr>
  </w:style>
  <w:style w:type="character" w:styleId="1870" w:customStyle="1">
    <w:name w:val="正文文本缩进 3 Char1"/>
    <w:link w:val="1624"/>
    <w:uiPriority w:val="0"/>
    <w:semiHidden/>
    <w:qFormat/>
    <w:rPr>
      <w:rFonts w:ascii="Times New Roman" w:hAnsi="Times New Roman" w:eastAsia="宋体" w:cs="Times New Roman"/>
      <w:sz w:val="16"/>
      <w:szCs w:val="16"/>
    </w:rPr>
  </w:style>
  <w:style w:type="character" w:styleId="1871" w:customStyle="1">
    <w:name w:val="批注框文本 Char1"/>
    <w:link w:val="1624"/>
    <w:uiPriority w:val="99"/>
    <w:semiHidden/>
    <w:qFormat/>
    <w:rPr>
      <w:rFonts w:ascii="Times New Roman" w:hAnsi="Times New Roman" w:eastAsia="宋体" w:cs="Times New Roman"/>
      <w:sz w:val="18"/>
      <w:szCs w:val="18"/>
    </w:rPr>
  </w:style>
  <w:style w:type="character" w:styleId="1872" w:customStyle="1">
    <w:name w:val="case31"/>
    <w:link w:val="1624"/>
    <w:uiPriority w:val="0"/>
    <w:qFormat/>
    <w:rPr>
      <w:spacing w:val="390"/>
      <w:sz w:val="21"/>
      <w:szCs w:val="21"/>
    </w:rPr>
  </w:style>
  <w:style w:type="character" w:styleId="1873" w:customStyle="1">
    <w:name w:val="font21"/>
    <w:link w:val="1624"/>
    <w:uiPriority w:val="0"/>
    <w:qFormat/>
    <w:rPr>
      <w:rFonts w:hint="eastAsia" w:ascii="仿宋" w:hAnsi="仿宋" w:eastAsia="仿宋" w:cs="仿宋"/>
      <w:color w:val="000000"/>
      <w:sz w:val="24"/>
      <w:szCs w:val="24"/>
      <w:u w:val="none"/>
    </w:rPr>
  </w:style>
  <w:style w:type="paragraph" w:styleId="1874" w:customStyle="1">
    <w:name w:val="_Style 1"/>
    <w:basedOn w:val="1624"/>
    <w:uiPriority w:val="99"/>
    <w:qFormat/>
    <w:pPr>
      <w:ind w:firstLine="420"/>
    </w:pPr>
    <w:rPr>
      <w:rFonts w:ascii="Calibri" w:hAnsi="Calibri" w:eastAsia="宋体" w:cs="Calibri"/>
      <w:sz w:val="34"/>
      <w:szCs w:val="34"/>
    </w:rPr>
  </w:style>
  <w:style w:type="paragraph" w:styleId="1875" w:customStyle="1">
    <w:name w:val="TOC Heading1"/>
    <w:next w:val="1624"/>
    <w:uiPriority w:val="0"/>
    <w:qFormat/>
    <w:rPr>
      <w:rFonts w:hint="default" w:ascii="Times New Roman" w:hAnsi="Times New Roman" w:eastAsia="宋体" w:cs="Times New Roman"/>
      <w:sz w:val="32"/>
      <w:lang w:val="en-US" w:eastAsia="zh-CN" w:bidi="ar-SA"/>
    </w:rPr>
  </w:style>
  <w:style w:type="paragraph" w:styleId="1876" w:customStyle="1">
    <w:name w:val="p0 paragraphindent"/>
    <w:basedOn w:val="1624"/>
    <w:uiPriority w:val="0"/>
    <w:qFormat/>
    <w:pPr>
      <w:jc w:val="left"/>
      <w:spacing w:before="100" w:beforeAutospacing="1" w:after="100" w:afterAutospacing="1"/>
      <w:widowControl/>
    </w:pPr>
    <w:rPr>
      <w:rFonts w:ascii="宋体" w:hAnsi="宋体" w:cs="宋体"/>
      <w:sz w:val="24"/>
      <w:szCs w:val="24"/>
    </w:rPr>
  </w:style>
  <w:style w:type="paragraph" w:styleId="1877" w:customStyle="1">
    <w:name w:val="二级无"/>
    <w:basedOn w:val="1624"/>
    <w:uiPriority w:val="0"/>
    <w:qFormat/>
    <w:pPr>
      <w:ind w:left="552" w:hanging="420"/>
      <w:jc w:val="left"/>
      <w:widowControl/>
      <w:tabs>
        <w:tab w:val="left" w:pos="552" w:leader="none"/>
      </w:tabs>
      <w:outlineLvl w:val="3"/>
    </w:pPr>
    <w:rPr>
      <w:rFonts w:ascii="宋体"/>
      <w:szCs w:val="21"/>
    </w:rPr>
  </w:style>
  <w:style w:type="paragraph" w:styleId="1878">
    <w:name w:val="List Paragraph"/>
    <w:basedOn w:val="1624"/>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879" w:customStyle="1">
    <w:name w:val="正文文本1"/>
    <w:basedOn w:val="1624"/>
    <w:next w:val="1880"/>
    <w:uiPriority w:val="0"/>
    <w:qFormat/>
    <w:rPr>
      <w:rFonts w:ascii="仿宋_GB2312" w:hAnsi="Times New Roman" w:eastAsia="仿宋_GB2312"/>
      <w:sz w:val="28"/>
      <w:szCs w:val="20"/>
    </w:rPr>
  </w:style>
  <w:style w:type="paragraph" w:styleId="1880" w:customStyle="1">
    <w:name w:val="列表1"/>
    <w:basedOn w:val="1624"/>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881" w:customStyle="1">
    <w:name w:val="标题 41"/>
    <w:basedOn w:val="1624"/>
    <w:next w:val="1624"/>
    <w:uiPriority w:val="0"/>
    <w:qFormat/>
    <w:pPr>
      <w:jc w:val="center"/>
      <w:keepNext/>
      <w:outlineLvl w:val="3"/>
    </w:pPr>
    <w:rPr>
      <w:rFonts w:eastAsia="楷体_GB2312"/>
      <w:b/>
      <w:bCs/>
      <w:sz w:val="13"/>
    </w:rPr>
  </w:style>
  <w:style w:type="paragraph" w:styleId="1882" w:customStyle="1">
    <w:name w:val="普通文字"/>
    <w:basedOn w:val="1624"/>
    <w:next w:val="1624"/>
    <w:uiPriority w:val="0"/>
    <w:qFormat/>
    <w:rPr>
      <w:rFonts w:ascii="宋体"/>
      <w:sz w:val="24"/>
    </w:rPr>
  </w:style>
  <w:style w:type="paragraph" w:styleId="1883"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884" w:customStyle="1">
    <w:name w:val="样式 小四 段前: 5 磅 段后: 5 磅 首行缩进:  2 字符"/>
    <w:basedOn w:val="1624"/>
    <w:uiPriority w:val="0"/>
    <w:qFormat/>
    <w:pPr>
      <w:jc w:val="center"/>
      <w:spacing w:line="360" w:lineRule="auto"/>
    </w:pPr>
    <w:rPr>
      <w:rFonts w:ascii="宋体" w:hAnsi="宋体"/>
      <w:bCs/>
      <w:color w:val="ff0000"/>
      <w:sz w:val="24"/>
      <w:szCs w:val="24"/>
    </w:rPr>
  </w:style>
  <w:style w:type="paragraph" w:styleId="1885" w:customStyle="1">
    <w:name w:val="List Paragraph1"/>
    <w:basedOn w:val="1624"/>
    <w:uiPriority w:val="0"/>
    <w:qFormat/>
    <w:pPr>
      <w:ind w:firstLine="420"/>
    </w:pPr>
    <w:rPr>
      <w:szCs w:val="21"/>
    </w:rPr>
  </w:style>
  <w:style w:type="paragraph" w:styleId="1886" w:customStyle="1">
    <w:name w:val="首行缩进"/>
    <w:basedOn w:val="1624"/>
    <w:uiPriority w:val="0"/>
    <w:qFormat/>
    <w:pPr>
      <w:ind w:firstLine="480"/>
    </w:pPr>
    <w:rPr>
      <w:szCs w:val="20"/>
      <w:lang w:val="zh-CN"/>
    </w:rPr>
  </w:style>
  <w:style w:type="paragraph" w:styleId="1887" w:customStyle="1">
    <w:name w:val="列出段落"/>
    <w:basedOn w:val="1624"/>
    <w:uiPriority w:val="34"/>
    <w:qFormat/>
    <w:pPr>
      <w:ind w:firstLine="420"/>
    </w:pPr>
  </w:style>
  <w:style w:type="paragraph" w:styleId="1888" w:customStyle="1">
    <w:name w:val="一级条标题"/>
    <w:next w:val="1624"/>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889" w:customStyle="1">
    <w:name w:val="段"/>
    <w:next w:val="1624"/>
    <w:uiPriority w:val="0"/>
    <w:qFormat/>
    <w:pPr>
      <w:ind w:firstLine="200"/>
      <w:jc w:val="both"/>
    </w:pPr>
    <w:rPr>
      <w:rFonts w:hint="default" w:ascii="宋体" w:hAnsi="Times New Roman" w:eastAsia="宋体" w:cs="Times New Roman"/>
      <w:sz w:val="21"/>
      <w:lang w:val="en-US" w:eastAsia="zh-CN" w:bidi="ar-SA"/>
    </w:rPr>
  </w:style>
  <w:style w:type="paragraph" w:styleId="1890" w:customStyle="1">
    <w:name w:val="正文缩进1"/>
    <w:basedOn w:val="1624"/>
    <w:next w:val="1624"/>
    <w:uiPriority w:val="0"/>
    <w:qFormat/>
    <w:pPr>
      <w:ind w:firstLine="420"/>
    </w:pPr>
    <w:rPr>
      <w:rFonts w:ascii="Times New Roman" w:hAnsi="Times New Roman" w:eastAsia="宋体" w:cs="Times New Roman"/>
      <w:szCs w:val="20"/>
    </w:rPr>
  </w:style>
  <w:style w:type="paragraph" w:styleId="1891" w:customStyle="1">
    <w:name w:val="正文首行缩进1"/>
    <w:basedOn w:val="1879"/>
    <w:uiPriority w:val="99"/>
    <w:unhideWhenUsed/>
    <w:qFormat/>
    <w:pPr>
      <w:ind w:firstLine="420"/>
      <w:spacing w:after="120"/>
    </w:pPr>
    <w:rPr>
      <w:rFonts w:ascii="等线" w:hAnsi="等线" w:eastAsia="等线" w:cs="Times New Roman"/>
      <w:sz w:val="21"/>
      <w:szCs w:val="22"/>
    </w:rPr>
  </w:style>
  <w:style w:type="paragraph" w:styleId="1892" w:customStyle="1">
    <w:name w:val="页眉1"/>
    <w:basedOn w:val="162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893" w:customStyle="1">
    <w:name w:val="页脚1"/>
    <w:basedOn w:val="1624"/>
    <w:next w:val="1875"/>
    <w:uiPriority w:val="99"/>
    <w:unhideWhenUsed/>
    <w:qFormat/>
    <w:pPr>
      <w:jc w:val="left"/>
      <w:tabs>
        <w:tab w:val="center" w:pos="4153" w:leader="none"/>
        <w:tab w:val="right" w:pos="8306" w:leader="none"/>
      </w:tabs>
    </w:pPr>
    <w:rPr>
      <w:sz w:val="18"/>
      <w:szCs w:val="18"/>
    </w:rPr>
  </w:style>
  <w:style w:type="paragraph" w:styleId="1894" w:customStyle="1">
    <w:name w:val="BodyTextIndent21"/>
    <w:basedOn w:val="1624"/>
    <w:next w:val="1624"/>
    <w:uiPriority w:val="0"/>
    <w:qFormat/>
    <w:pPr>
      <w:ind w:left="420"/>
      <w:spacing w:after="120" w:line="480" w:lineRule="auto"/>
      <w:widowControl/>
    </w:pPr>
    <w:rPr>
      <w:szCs w:val="24"/>
    </w:rPr>
  </w:style>
  <w:style w:type="character" w:styleId="1895" w:customStyle="1">
    <w:name w:val="font41"/>
    <w:basedOn w:val="1634"/>
    <w:uiPriority w:val="0"/>
    <w:qFormat/>
    <w:rPr>
      <w:rFonts w:hint="eastAsia" w:ascii="宋体" w:hAnsi="宋体" w:eastAsia="宋体" w:cs="宋体"/>
      <w:color w:val="000000"/>
      <w:sz w:val="20"/>
      <w:szCs w:val="20"/>
      <w:u w:val="none"/>
    </w:rPr>
  </w:style>
  <w:style w:type="character" w:styleId="1896" w:customStyle="1">
    <w:name w:val="font51"/>
    <w:basedOn w:val="1634"/>
    <w:uiPriority w:val="0"/>
    <w:qFormat/>
    <w:rPr>
      <w:rFonts w:hint="default" w:ascii="Times New Roman" w:hAnsi="Times New Roman" w:cs="Times New Roman"/>
      <w:color w:val="000000"/>
      <w:sz w:val="20"/>
      <w:szCs w:val="20"/>
      <w:u w:val="none"/>
    </w:rPr>
  </w:style>
  <w:style w:type="paragraph" w:styleId="1897" w:customStyle="1">
    <w:name w:val="纯文本11"/>
    <w:basedOn w:val="1624"/>
    <w:uiPriority w:val="0"/>
    <w:qFormat/>
    <w:rPr>
      <w:rFonts w:ascii="宋体" w:hAnsi="Courier New"/>
      <w:szCs w:val="21"/>
      <w:lang w:eastAsia="en-US"/>
    </w:rPr>
  </w:style>
  <w:style w:type="character" w:styleId="1898" w:customStyle="1">
    <w:name w:val="font61"/>
    <w:basedOn w:val="1634"/>
    <w:uiPriority w:val="0"/>
    <w:qFormat/>
    <w:rPr>
      <w:rFonts w:hint="eastAsia" w:ascii="宋体" w:hAnsi="宋体" w:eastAsia="宋体" w:cs="宋体"/>
      <w:color w:val="000000"/>
      <w:sz w:val="20"/>
      <w:szCs w:val="20"/>
      <w:u w:val="none"/>
    </w:rPr>
  </w:style>
  <w:style w:type="numbering" w:styleId="1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footer" Target="footer17.xml" /><Relationship Id="rId33" Type="http://schemas.openxmlformats.org/officeDocument/2006/relationships/footer" Target="footer18.xml" /><Relationship Id="rId34" Type="http://schemas.openxmlformats.org/officeDocument/2006/relationships/footer" Target="footer19.xml" /><Relationship Id="rId35" Type="http://schemas.openxmlformats.org/officeDocument/2006/relationships/footer" Target="footer20.xml" /><Relationship Id="rId36" Type="http://schemas.openxmlformats.org/officeDocument/2006/relationships/customXml" Target="../customXml/item1.xml" /><Relationship Id="rId3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2051"/>
    <customShpInfo spid="_x0000_s2053"/>
    <customShpInfo spid="_x0000_s2052"/>
    <customShpInfo spid="_x0000_s2050"/>
    <customShpInfo spid="_x0000_s2055"/>
    <customShpInfo spid="_x0000_s2056"/>
    <customShpInfo spid="_x0000_s2057"/>
    <customShpInfo spid="_x0000_s2058"/>
    <customShpInfo spid="_x0000_s2059"/>
    <customShpInfo spid="_x0000_s206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丁霞</cp:lastModifiedBy>
  <cp:revision>9</cp:revision>
  <dcterms:created xsi:type="dcterms:W3CDTF">2023-03-28T06:55:00Z</dcterms:created>
  <dcterms:modified xsi:type="dcterms:W3CDTF">2026-07-20T03:36:42Z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2E83DC9473CA4BCF9980C123E65F0EB5_12</vt:lpwstr>
  </property>
  <property fmtid="{D5CDD505-2E9C-101B-9397-08002B2CF9AE}" pid="4" name="KSOTemplateDocerSaveRecord">
    <vt:lpwstr>eyJoZGlkIjoiNGIxZjEwNzk1NjgwZGFkMDQ0ZjljNjM3MTUxNjA4NTgiLCJ1c2VySWQiOiIyODAyNDI5NDAifQ==</vt:lpwstr>
  </property>
</Properties>
</file>